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楷体" w:hAnsi="楷体" w:eastAsia="楷体" w:cs="楷体"/>
          <w:b/>
          <w:bCs/>
          <w:sz w:val="48"/>
          <w:szCs w:val="48"/>
          <w:lang w:eastAsia="zh-CN"/>
        </w:rPr>
      </w:pPr>
      <w:r>
        <w:rPr>
          <w:rFonts w:hint="eastAsia" w:ascii="楷体" w:hAnsi="楷体" w:eastAsia="楷体" w:cs="楷体"/>
          <w:b/>
          <w:bCs/>
          <w:sz w:val="48"/>
          <w:szCs w:val="48"/>
          <w:lang w:eastAsia="zh-CN"/>
        </w:rPr>
        <w:t>合肥东陆混凝土有限公司</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楷体" w:hAnsi="楷体" w:eastAsia="楷体" w:cs="楷体"/>
          <w:b/>
          <w:bCs/>
          <w:sz w:val="48"/>
          <w:szCs w:val="48"/>
          <w:lang w:eastAsia="zh-CN"/>
        </w:rPr>
      </w:pPr>
      <w:r>
        <w:rPr>
          <w:rFonts w:hint="eastAsia" w:ascii="楷体" w:hAnsi="楷体" w:eastAsia="楷体" w:cs="楷体"/>
          <w:b/>
          <w:bCs/>
          <w:sz w:val="48"/>
          <w:szCs w:val="48"/>
          <w:lang w:eastAsia="zh-CN"/>
        </w:rPr>
        <w:t>混凝土生产项目</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楷体" w:hAnsi="楷体" w:eastAsia="楷体" w:cs="楷体"/>
          <w:b/>
          <w:bCs/>
          <w:sz w:val="48"/>
          <w:szCs w:val="48"/>
        </w:rPr>
      </w:pPr>
      <w:r>
        <w:rPr>
          <w:rFonts w:hint="eastAsia" w:ascii="楷体" w:hAnsi="楷体" w:eastAsia="楷体" w:cs="楷体"/>
          <w:b/>
          <w:bCs/>
          <w:sz w:val="48"/>
          <w:szCs w:val="48"/>
        </w:rPr>
        <w:t>竣工环境保护验收监测报告</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eastAsiaTheme="minorEastAsia"/>
          <w:b/>
          <w:bCs/>
          <w:sz w:val="32"/>
          <w:szCs w:val="32"/>
          <w:lang w:val="en-US" w:eastAsia="zh-CN"/>
        </w:rPr>
      </w:pPr>
      <w:r>
        <w:rPr>
          <w:rFonts w:hint="eastAsia"/>
          <w:b/>
          <w:bCs/>
          <w:sz w:val="32"/>
          <w:szCs w:val="32"/>
        </w:rPr>
        <w:t>建设单位：</w:t>
      </w:r>
      <w:r>
        <w:rPr>
          <w:rFonts w:hint="eastAsia"/>
          <w:b/>
          <w:bCs/>
          <w:sz w:val="32"/>
          <w:szCs w:val="32"/>
          <w:u w:val="single"/>
        </w:rPr>
        <w:t xml:space="preserve">  </w:t>
      </w:r>
      <w:r>
        <w:rPr>
          <w:rFonts w:hint="eastAsia"/>
          <w:b/>
          <w:bCs/>
          <w:sz w:val="32"/>
          <w:szCs w:val="32"/>
          <w:u w:val="single"/>
          <w:lang w:val="en-US" w:eastAsia="zh-CN"/>
        </w:rPr>
        <w:t xml:space="preserve">  </w:t>
      </w:r>
      <w:r>
        <w:rPr>
          <w:rFonts w:hint="eastAsia"/>
          <w:b/>
          <w:bCs/>
          <w:sz w:val="32"/>
          <w:szCs w:val="32"/>
          <w:u w:val="single"/>
          <w:lang w:eastAsia="zh-CN"/>
        </w:rPr>
        <w:t>合肥东陆混凝土有限公司</w:t>
      </w:r>
      <w:r>
        <w:rPr>
          <w:rFonts w:hint="eastAsia"/>
          <w:b/>
          <w:bCs/>
          <w:sz w:val="32"/>
          <w:szCs w:val="32"/>
          <w:u w:val="single"/>
          <w:lang w:val="en-US" w:eastAsia="zh-CN"/>
        </w:rPr>
        <w:t xml:space="preserve">    </w:t>
      </w:r>
    </w:p>
    <w:p>
      <w:pPr>
        <w:jc w:val="center"/>
        <w:rPr>
          <w:rFonts w:hint="default" w:eastAsiaTheme="minorEastAsia"/>
          <w:b/>
          <w:bCs/>
          <w:sz w:val="32"/>
          <w:szCs w:val="32"/>
          <w:u w:val="single"/>
          <w:lang w:val="en-US" w:eastAsia="zh-CN"/>
        </w:rPr>
      </w:pPr>
      <w:r>
        <w:rPr>
          <w:rFonts w:hint="eastAsia"/>
          <w:b/>
          <w:bCs/>
          <w:sz w:val="32"/>
          <w:szCs w:val="32"/>
        </w:rPr>
        <w:t>编制单位：</w:t>
      </w:r>
      <w:r>
        <w:rPr>
          <w:rFonts w:hint="eastAsia"/>
          <w:b/>
          <w:bCs/>
          <w:sz w:val="32"/>
          <w:szCs w:val="32"/>
          <w:u w:val="single"/>
        </w:rPr>
        <w:t xml:space="preserve">  </w:t>
      </w:r>
      <w:r>
        <w:rPr>
          <w:rFonts w:hint="eastAsia"/>
          <w:b/>
          <w:bCs/>
          <w:sz w:val="32"/>
          <w:szCs w:val="32"/>
          <w:u w:val="single"/>
          <w:lang w:val="en-US" w:eastAsia="zh-CN"/>
        </w:rPr>
        <w:t xml:space="preserve">  </w:t>
      </w:r>
      <w:r>
        <w:rPr>
          <w:rFonts w:hint="eastAsia"/>
          <w:b/>
          <w:bCs/>
          <w:sz w:val="32"/>
          <w:szCs w:val="32"/>
          <w:u w:val="single"/>
          <w:lang w:eastAsia="zh-CN"/>
        </w:rPr>
        <w:t>合肥东陆混凝土有限公司</w:t>
      </w:r>
      <w:r>
        <w:rPr>
          <w:rFonts w:hint="eastAsia"/>
          <w:b/>
          <w:bCs/>
          <w:sz w:val="32"/>
          <w:szCs w:val="32"/>
          <w:u w:val="single"/>
          <w:lang w:val="en-US" w:eastAsia="zh-CN"/>
        </w:rPr>
        <w:t xml:space="preserve">    </w:t>
      </w:r>
    </w:p>
    <w:p>
      <w:pPr>
        <w:rPr>
          <w:rFonts w:hint="eastAsia"/>
        </w:rPr>
      </w:pPr>
    </w:p>
    <w:p>
      <w:pPr>
        <w:rPr>
          <w:rFonts w:hint="eastAsia"/>
        </w:rPr>
      </w:pPr>
    </w:p>
    <w:p>
      <w:pPr>
        <w:jc w:val="center"/>
        <w:rPr>
          <w:b/>
          <w:bCs/>
          <w:sz w:val="32"/>
          <w:szCs w:val="32"/>
        </w:rPr>
      </w:pPr>
      <w:r>
        <w:rPr>
          <w:rFonts w:hint="eastAsia"/>
          <w:b/>
          <w:bCs/>
          <w:sz w:val="32"/>
          <w:szCs w:val="32"/>
        </w:rPr>
        <w:t>二0一九年</w:t>
      </w:r>
      <w:r>
        <w:rPr>
          <w:rFonts w:hint="eastAsia"/>
          <w:b/>
          <w:bCs/>
          <w:sz w:val="32"/>
          <w:szCs w:val="32"/>
          <w:lang w:eastAsia="zh-CN"/>
        </w:rPr>
        <w:t>五</w:t>
      </w:r>
      <w:r>
        <w:rPr>
          <w:rFonts w:hint="eastAsia"/>
          <w:b/>
          <w:bCs/>
          <w:sz w:val="32"/>
          <w:szCs w:val="32"/>
        </w:rPr>
        <w:t>月</w:t>
      </w:r>
    </w:p>
    <w:p>
      <w:r>
        <w:br w:type="page"/>
      </w:r>
    </w:p>
    <w:p>
      <w:r>
        <w:br w:type="page"/>
      </w:r>
    </w:p>
    <w:p>
      <w:pPr>
        <w:spacing w:line="360" w:lineRule="auto"/>
        <w:rPr>
          <w:rFonts w:hint="eastAsia" w:ascii="Times New Roman" w:hAnsi="Times New Roman" w:cs="Times New Roman" w:eastAsiaTheme="minorEastAsia"/>
          <w:sz w:val="30"/>
          <w:szCs w:val="30"/>
          <w:lang w:eastAsia="zh-CN"/>
        </w:rPr>
      </w:pPr>
      <w:r>
        <w:rPr>
          <w:rFonts w:hint="default" w:ascii="Times New Roman" w:hAnsi="Times New Roman" w:cs="Times New Roman"/>
          <w:sz w:val="30"/>
          <w:szCs w:val="30"/>
        </w:rPr>
        <w:t>建设单位：</w:t>
      </w:r>
      <w:r>
        <w:rPr>
          <w:rFonts w:hint="eastAsia" w:ascii="Times New Roman" w:hAnsi="Times New Roman" w:cs="Times New Roman"/>
          <w:sz w:val="30"/>
          <w:szCs w:val="30"/>
          <w:lang w:eastAsia="zh-CN"/>
        </w:rPr>
        <w:t>合肥东陆混凝土有限公司</w:t>
      </w:r>
    </w:p>
    <w:p>
      <w:pPr>
        <w:bidi w:val="0"/>
        <w:rPr>
          <w:rFonts w:hint="default"/>
        </w:rPr>
      </w:pPr>
    </w:p>
    <w:p>
      <w:pPr>
        <w:bidi w:val="0"/>
        <w:rPr>
          <w:rFonts w:hint="default"/>
        </w:rPr>
      </w:pPr>
    </w:p>
    <w:p>
      <w:pPr>
        <w:spacing w:line="360" w:lineRule="auto"/>
        <w:rPr>
          <w:rFonts w:hint="eastAsia" w:ascii="Times New Roman" w:hAnsi="Times New Roman" w:cs="Times New Roman" w:eastAsiaTheme="minorEastAsia"/>
          <w:sz w:val="30"/>
          <w:szCs w:val="30"/>
          <w:lang w:eastAsia="zh-CN"/>
        </w:rPr>
      </w:pPr>
      <w:r>
        <w:rPr>
          <w:rFonts w:hint="default" w:ascii="Times New Roman" w:hAnsi="Times New Roman" w:cs="Times New Roman"/>
          <w:sz w:val="30"/>
          <w:szCs w:val="30"/>
        </w:rPr>
        <w:t>法人代表：</w:t>
      </w:r>
      <w:r>
        <w:rPr>
          <w:rFonts w:hint="eastAsia" w:ascii="Times New Roman" w:hAnsi="Times New Roman" w:cs="Times New Roman"/>
          <w:sz w:val="30"/>
          <w:szCs w:val="30"/>
          <w:lang w:eastAsia="zh-CN"/>
        </w:rPr>
        <w:t>曹维华</w:t>
      </w:r>
    </w:p>
    <w:p>
      <w:pPr>
        <w:bidi w:val="0"/>
        <w:rPr>
          <w:rFonts w:hint="default"/>
        </w:rPr>
      </w:pPr>
    </w:p>
    <w:p>
      <w:pPr>
        <w:bidi w:val="0"/>
        <w:rPr>
          <w:rFonts w:hint="default"/>
        </w:rPr>
      </w:pPr>
    </w:p>
    <w:p>
      <w:pPr>
        <w:bidi w:val="0"/>
        <w:rPr>
          <w:rFonts w:hint="default"/>
        </w:rPr>
      </w:pPr>
    </w:p>
    <w:p>
      <w:pPr>
        <w:bidi w:val="0"/>
        <w:rPr>
          <w:rFonts w:hint="default"/>
        </w:rPr>
      </w:pPr>
    </w:p>
    <w:p>
      <w:pPr>
        <w:spacing w:line="360" w:lineRule="auto"/>
        <w:rPr>
          <w:rFonts w:hint="eastAsia" w:ascii="Times New Roman" w:hAnsi="Times New Roman" w:cs="Times New Roman" w:eastAsiaTheme="minorEastAsia"/>
          <w:sz w:val="30"/>
          <w:szCs w:val="30"/>
          <w:lang w:eastAsia="zh-CN"/>
        </w:rPr>
      </w:pPr>
      <w:r>
        <w:rPr>
          <w:rFonts w:hint="default" w:ascii="Times New Roman" w:hAnsi="Times New Roman" w:cs="Times New Roman"/>
          <w:sz w:val="30"/>
          <w:szCs w:val="30"/>
        </w:rPr>
        <w:t>编制单位：</w:t>
      </w:r>
      <w:r>
        <w:rPr>
          <w:rFonts w:hint="eastAsia" w:ascii="Times New Roman" w:hAnsi="Times New Roman" w:cs="Times New Roman"/>
          <w:sz w:val="30"/>
          <w:szCs w:val="30"/>
          <w:lang w:eastAsia="zh-CN"/>
        </w:rPr>
        <w:t>合肥东陆混凝土有限公司</w:t>
      </w:r>
    </w:p>
    <w:p>
      <w:pPr>
        <w:bidi w:val="0"/>
        <w:rPr>
          <w:rFonts w:hint="default"/>
        </w:rPr>
      </w:pPr>
    </w:p>
    <w:p>
      <w:pPr>
        <w:bidi w:val="0"/>
        <w:rPr>
          <w:rFonts w:hint="default"/>
        </w:rPr>
      </w:pPr>
    </w:p>
    <w:p>
      <w:pPr>
        <w:bidi w:val="0"/>
        <w:rPr>
          <w:rFonts w:hint="default"/>
        </w:rPr>
      </w:pPr>
    </w:p>
    <w:p>
      <w:pPr>
        <w:bidi w:val="0"/>
        <w:rPr>
          <w:rFonts w:hint="default"/>
        </w:rPr>
      </w:pPr>
    </w:p>
    <w:p>
      <w:pPr>
        <w:widowControl w:val="0"/>
        <w:pBdr>
          <w:top w:val="none" w:color="auto" w:sz="0" w:space="1"/>
          <w:left w:val="none" w:color="auto" w:sz="0" w:space="4"/>
          <w:bottom w:val="none" w:color="auto" w:sz="0" w:space="1"/>
          <w:right w:val="none" w:color="auto" w:sz="0" w:space="4"/>
          <w:between w:val="none" w:color="auto" w:sz="0" w:space="0"/>
        </w:pBdr>
        <w:bidi w:val="0"/>
        <w:jc w:val="both"/>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8522" w:type="dxa"/>
            <w:vAlign w:val="top"/>
          </w:tcPr>
          <w:p>
            <w:pPr>
              <w:spacing w:line="360" w:lineRule="auto"/>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建设单位/编制单位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8522" w:type="dxa"/>
            <w:vAlign w:val="top"/>
          </w:tcPr>
          <w:p>
            <w:pPr>
              <w:spacing w:line="360" w:lineRule="auto"/>
              <w:rPr>
                <w:rFonts w:hint="default" w:ascii="Times New Roman" w:hAnsi="Times New Roman" w:cs="Times New Roman" w:eastAsiaTheme="minorEastAsia"/>
                <w:sz w:val="28"/>
                <w:szCs w:val="28"/>
                <w:vertAlign w:val="baseline"/>
                <w:lang w:val="en-US" w:eastAsia="zh-CN"/>
              </w:rPr>
            </w:pPr>
            <w:r>
              <w:rPr>
                <w:rFonts w:hint="default" w:ascii="Times New Roman" w:hAnsi="Times New Roman" w:cs="Times New Roman"/>
                <w:sz w:val="28"/>
                <w:szCs w:val="28"/>
                <w:vertAlign w:val="baseline"/>
              </w:rPr>
              <w:t>电话：</w:t>
            </w:r>
            <w:r>
              <w:rPr>
                <w:rFonts w:hint="eastAsia" w:ascii="Times New Roman" w:hAnsi="Times New Roman" w:cs="Times New Roman"/>
                <w:sz w:val="28"/>
                <w:szCs w:val="28"/>
                <w:vertAlign w:val="baseline"/>
                <w:lang w:val="en-US" w:eastAsia="zh-CN"/>
              </w:rPr>
              <w:t>153-9513-3737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8522" w:type="dxa"/>
            <w:vAlign w:val="top"/>
          </w:tcPr>
          <w:p>
            <w:pPr>
              <w:spacing w:line="360" w:lineRule="auto"/>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8522" w:type="dxa"/>
            <w:vAlign w:val="top"/>
          </w:tcPr>
          <w:p>
            <w:pPr>
              <w:spacing w:line="360" w:lineRule="auto"/>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邮编：230000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8522" w:type="dxa"/>
            <w:vAlign w:val="top"/>
          </w:tcPr>
          <w:p>
            <w:pPr>
              <w:spacing w:line="360" w:lineRule="auto"/>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地址：安徽长丰双凤经济开发区</w:t>
            </w:r>
            <w:r>
              <w:rPr>
                <w:rFonts w:hint="eastAsia" w:ascii="Times New Roman" w:hAnsi="Times New Roman" w:cs="Times New Roman"/>
                <w:sz w:val="28"/>
                <w:szCs w:val="28"/>
                <w:vertAlign w:val="baseline"/>
                <w:lang w:eastAsia="zh-CN"/>
              </w:rPr>
              <w:t>阜阳北路</w:t>
            </w:r>
            <w:r>
              <w:rPr>
                <w:rFonts w:hint="default" w:ascii="Times New Roman" w:hAnsi="Times New Roman" w:cs="Times New Roman"/>
                <w:sz w:val="28"/>
                <w:szCs w:val="28"/>
                <w:vertAlign w:val="baseline"/>
              </w:rPr>
              <w:t>以东、金兰路以南</w:t>
            </w:r>
          </w:p>
        </w:tc>
      </w:tr>
    </w:tbl>
    <w:p>
      <w:pPr>
        <w:rPr>
          <w:rFonts w:hint="default" w:ascii="Times New Roman" w:hAnsi="Times New Roman" w:cs="Times New Roman"/>
          <w:sz w:val="30"/>
          <w:szCs w:val="30"/>
        </w:rPr>
      </w:pPr>
      <w:r>
        <w:rPr>
          <w:rFonts w:hint="default" w:ascii="Times New Roman" w:hAnsi="Times New Roman" w:cs="Times New Roman"/>
          <w:sz w:val="30"/>
          <w:szCs w:val="30"/>
        </w:rPr>
        <w:br w:type="page"/>
      </w:r>
    </w:p>
    <w:p>
      <w:pPr>
        <w:rPr>
          <w:rFonts w:hint="default" w:ascii="Times New Roman" w:hAnsi="Times New Roman" w:cs="Times New Roman"/>
          <w:sz w:val="30"/>
          <w:szCs w:val="30"/>
        </w:rPr>
      </w:pPr>
      <w:r>
        <w:rPr>
          <w:rFonts w:hint="default" w:ascii="Times New Roman" w:hAnsi="Times New Roman" w:cs="Times New Roman"/>
          <w:sz w:val="30"/>
          <w:szCs w:val="30"/>
        </w:rPr>
        <w:br w:type="page"/>
      </w:r>
    </w:p>
    <w:p>
      <w:pPr>
        <w:spacing w:line="360" w:lineRule="auto"/>
        <w:jc w:val="center"/>
        <w:rPr>
          <w:rFonts w:hint="eastAsia" w:ascii="Times New Roman" w:hAnsi="Times New Roman" w:cs="Times New Roman"/>
          <w:b/>
          <w:bCs/>
          <w:sz w:val="36"/>
          <w:szCs w:val="36"/>
          <w:lang w:val="en-US" w:eastAsia="zh-CN"/>
        </w:rPr>
      </w:pPr>
      <w:r>
        <w:rPr>
          <w:rFonts w:hint="eastAsia" w:ascii="Times New Roman" w:hAnsi="Times New Roman" w:cs="Times New Roman"/>
          <w:b/>
          <w:bCs/>
          <w:sz w:val="36"/>
          <w:szCs w:val="36"/>
          <w:lang w:val="en-US" w:eastAsia="zh-CN"/>
        </w:rPr>
        <w:t>目 录</w:t>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TOC \o "1-2" \h \u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_Toc30194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一、验收项目概况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_Toc17909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二、验收依据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_Toc17909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_Toc20072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2.1 建设项目环境保护相关法律、法规和规章制度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_Toc20072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_Toc21317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2.2 建设项目竣工环境保护验收技术规范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_Toc4861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2.3 建设项目环境影响报告书（表）及审批部门审批决定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_Toc4861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_Toc11800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2.4 其他相关文件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_Toc15987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三、工程建设情况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_Toc15987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_Toc22285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3.1 地理位置及平面布置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_Toc9260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3.2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_Toc23612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3.3 主要原辅材料消耗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_Toc26930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3.4 设备清单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_Toc10383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highlight w:val="none"/>
          <w:lang w:val="en-US" w:eastAsia="zh-CN"/>
        </w:rPr>
        <w:t>3.5 水源及水平衡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_Toc26284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3.6 工艺及简述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_Toc26284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_Toc27370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3.7 项目变动情况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_Toc27370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_Toc18652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四、环境保护设施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_Toc15285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4.1 污染物治理设施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_Toc15285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_Toc5904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4.2 环保设施投资及“三同时”落实情况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_Toc7035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4.3 《合肥市预拌商品混凝土商硂站环境整治工作方案》落实情况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_Toc7035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_Toc29751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五、建设项目环评报告表的主要结论及审批部门审批决定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_Toc29751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_Toc31676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5.1合肥东陆混凝土有限公司混凝土生产项目环境影响报告表的主要结论与建议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_Toc31676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_Toc9459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5.2合肥东陆混凝土有限公司混凝土生产项目环境影响报告表审批部门审批决定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_Toc19243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六、验收执行标准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_Toc19243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_Toc3933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6.1 废水验收监测评价标准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_Toc2278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6.2 废气验收监测评价标准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_Toc18910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6.3 噪声验收监测评价标准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_Toc18910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_Toc15983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6.4 固废验收评价标准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_Toc15983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_Toc14784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七、验收监测内容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_Toc32367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7.1 环境保护设施调试运行效果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_Toc32367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_Toc1900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八、质量保证和质量控制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_Toc13961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8.1 监测分析方法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_Toc13961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_Toc7532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8.2 监测资质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_Toc7532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_Toc21699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8.3 水质监测分析过程中的质量保证和质量控制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_Toc21699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_Toc20651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8.4 气体监测分析过程中的质量保证和质量控制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_Toc1369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8.5 噪声监测分析过程中的质量保证和质量控制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_Toc908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九、验收监测结果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_Toc13294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9.1 验收监测期间供应工况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_Toc13294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_Toc25286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9.2 环保设施调试效率监测结果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_Toc4982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十、环境管理检查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_Toc4982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_Toc4656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10.1 环保审批手续及“三同时”执行情况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_Toc4656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_Toc19028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10.2 环保管理机构的设置及人员配备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_Toc19028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_Toc4321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10.3 环保设施投资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_Toc4321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_Toc3197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10.4 环评及批复要求的落实情况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_Toc5965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十一、验收监测结论及建议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_Toc31650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11.1 环保设施调试运行效果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_Toc31650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_Toc1861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11.2 验收结论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6"/>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_Toc9641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十二、附件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_Toc1285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附件1：《合肥东陆混凝土有限公司混凝土生产项目环境影响报告表的批复》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_Toc31748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附件2：合肥东陆混凝土有限公司混凝土生产项目检测报告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_Toc18877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附件3：合肥东陆混凝土有限公司混凝土生产项目验收期间工况证明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_Toc18877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_Toc12964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附件4：雨、污管网接管证明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_Toc809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附件5：关于对混凝土搅拌站扬尘污染整治情况的验收意见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7"/>
        <w:tabs>
          <w:tab w:val="right" w:leader="dot" w:pos="8306"/>
        </w:tabs>
        <w:spacing w:line="360" w:lineRule="auto"/>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_Toc11161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附件6：监测现场照片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_Toc11161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9"/>
        <w:bidi w:val="0"/>
        <w:spacing w:line="360" w:lineRule="auto"/>
        <w:rPr>
          <w:rFonts w:hint="eastAsia"/>
          <w:lang w:val="en-US" w:eastAsia="zh-CN"/>
        </w:rPr>
      </w:pPr>
      <w:r>
        <w:rPr>
          <w:rFonts w:hint="default" w:ascii="Times New Roman" w:hAnsi="Times New Roman" w:eastAsia="宋体" w:cs="Times New Roman"/>
          <w:szCs w:val="24"/>
          <w:lang w:val="en-US" w:eastAsia="zh-CN"/>
        </w:rPr>
        <w:fldChar w:fldCharType="end"/>
      </w:r>
    </w:p>
    <w:p>
      <w:pPr>
        <w:pStyle w:val="9"/>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5"/>
        <w:bidi w:val="0"/>
        <w:rPr>
          <w:rFonts w:hint="eastAsia"/>
          <w:sz w:val="30"/>
          <w:szCs w:val="30"/>
          <w:lang w:val="en-US" w:eastAsia="zh-CN"/>
        </w:rPr>
      </w:pPr>
      <w:bookmarkStart w:id="0" w:name="_Toc30194"/>
      <w:r>
        <w:rPr>
          <w:rFonts w:hint="eastAsia"/>
          <w:sz w:val="30"/>
          <w:szCs w:val="30"/>
          <w:lang w:val="en-US" w:eastAsia="zh-CN"/>
        </w:rPr>
        <w:t>一、验收项目概况</w:t>
      </w:r>
      <w:bookmarkEnd w:id="0"/>
    </w:p>
    <w:p>
      <w:pPr>
        <w:pStyle w:val="9"/>
        <w:bidi w:val="0"/>
        <w:rPr>
          <w:rFonts w:hint="eastAsia"/>
          <w:color w:val="auto"/>
          <w:lang w:val="en-US" w:eastAsia="zh-CN"/>
        </w:rPr>
      </w:pPr>
      <w:r>
        <w:rPr>
          <w:rFonts w:hint="eastAsia"/>
          <w:lang w:val="en-US" w:eastAsia="zh-CN"/>
        </w:rPr>
        <w:t>合肥东陆混凝土有限公司混凝土生产项目建设地点位于合肥市长丰县双凤经济开发区阜阳北路以东、金兰路以</w:t>
      </w:r>
      <w:r>
        <w:rPr>
          <w:rFonts w:hint="eastAsia"/>
          <w:color w:val="auto"/>
          <w:lang w:val="en-US" w:eastAsia="zh-CN"/>
        </w:rPr>
        <w:t>南（东经117</w:t>
      </w:r>
      <w:r>
        <w:rPr>
          <w:rFonts w:hint="default" w:ascii="Times New Roman" w:hAnsi="Times New Roman" w:cs="Times New Roman"/>
          <w:color w:val="auto"/>
          <w:lang w:val="en-US" w:eastAsia="zh-CN"/>
        </w:rPr>
        <w:t>°</w:t>
      </w:r>
      <w:r>
        <w:rPr>
          <w:rFonts w:hint="eastAsia"/>
          <w:color w:val="auto"/>
          <w:lang w:val="en-US" w:eastAsia="zh-CN"/>
        </w:rPr>
        <w:t>15'28.67"，北纬31</w:t>
      </w:r>
      <w:r>
        <w:rPr>
          <w:rFonts w:hint="default" w:ascii="Times New Roman" w:hAnsi="Times New Roman" w:cs="Times New Roman"/>
          <w:color w:val="auto"/>
          <w:lang w:val="en-US" w:eastAsia="zh-CN"/>
        </w:rPr>
        <w:t>°</w:t>
      </w:r>
      <w:r>
        <w:rPr>
          <w:rFonts w:hint="eastAsia"/>
          <w:color w:val="auto"/>
          <w:lang w:val="en-US" w:eastAsia="zh-CN"/>
        </w:rPr>
        <w:t>58'48.65"），系租赁华盛轻工（合肥）有限公司东侧厂区作为生产场所（约15亩），为新建项目。</w:t>
      </w:r>
    </w:p>
    <w:p>
      <w:pPr>
        <w:pStyle w:val="9"/>
        <w:bidi w:val="0"/>
        <w:rPr>
          <w:rFonts w:hint="eastAsia"/>
          <w:lang w:val="en-US" w:eastAsia="zh-CN"/>
        </w:rPr>
      </w:pPr>
      <w:r>
        <w:rPr>
          <w:rFonts w:hint="eastAsia"/>
          <w:lang w:val="en-US" w:eastAsia="zh-CN"/>
        </w:rPr>
        <w:t>本项目于2008年委托合肥市环境保护科学研究所编制了《合肥东陆混凝土有限公司混凝土生产项目环境影响报告表》，于2008年3月10日经长丰县环境保护局审批（表、长环建[2008]9号）。</w:t>
      </w:r>
    </w:p>
    <w:p>
      <w:pPr>
        <w:pStyle w:val="9"/>
        <w:bidi w:val="0"/>
        <w:rPr>
          <w:rFonts w:hint="eastAsia"/>
          <w:color w:val="auto"/>
          <w:lang w:val="en-US" w:eastAsia="zh-CN"/>
        </w:rPr>
      </w:pPr>
      <w:r>
        <w:rPr>
          <w:rFonts w:hint="eastAsia"/>
          <w:lang w:val="en-US" w:eastAsia="zh-CN"/>
        </w:rPr>
        <w:t>本项目主要从事商品混凝土的生产。环评设计最大产能为可年生产商品混凝土36万m</w:t>
      </w:r>
      <w:r>
        <w:rPr>
          <w:rFonts w:hint="eastAsia"/>
          <w:vertAlign w:val="superscript"/>
          <w:lang w:val="en-US" w:eastAsia="zh-CN"/>
        </w:rPr>
        <w:t>3</w:t>
      </w:r>
      <w:r>
        <w:rPr>
          <w:rFonts w:hint="eastAsia"/>
          <w:lang w:val="en-US" w:eastAsia="zh-CN"/>
        </w:rPr>
        <w:t>。根据实际混凝土生产设备核算最大生产能力：可年生产商品混凝土36万</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。本项目总投资1584万元，其中环保投资270万元，占总投资17.05%。</w:t>
      </w:r>
    </w:p>
    <w:p>
      <w:pPr>
        <w:pStyle w:val="9"/>
        <w:bidi w:val="0"/>
        <w:rPr>
          <w:rFonts w:hint="eastAsia"/>
          <w:lang w:val="en-US" w:eastAsia="zh-CN"/>
        </w:rPr>
      </w:pPr>
      <w:r>
        <w:rPr>
          <w:rFonts w:hint="eastAsia"/>
          <w:lang w:val="en-US" w:eastAsia="zh-CN"/>
        </w:rPr>
        <w:t>本次验收针对合肥东陆混凝土有限公司混凝土生产项目主体工程、配套工程及环保工程进行整体验收。公</w:t>
      </w:r>
      <w:r>
        <w:rPr>
          <w:rFonts w:hint="eastAsia"/>
          <w:color w:val="auto"/>
          <w:lang w:val="en-US" w:eastAsia="zh-CN"/>
        </w:rPr>
        <w:t>司于2018年11月上旬组</w:t>
      </w:r>
      <w:r>
        <w:rPr>
          <w:rFonts w:hint="eastAsia"/>
          <w:lang w:val="en-US" w:eastAsia="zh-CN"/>
        </w:rPr>
        <w:t>织验收工作事宜，2018年11月15日编制验收监测方案，委托安徽省中望环保节能检测有限公司于2018年11月26日和11月27日组织人员进行了废水、废气和噪声的验收监测，通过对该工程“三同时”执行情况和效果的检查并依据监测结果及相应的国家有关环境标准，编制了本项目竣工环境保护验收监测报告。</w:t>
      </w:r>
    </w:p>
    <w:p>
      <w:pPr>
        <w:pStyle w:val="9"/>
        <w:bidi w:val="0"/>
        <w:rPr>
          <w:rFonts w:hint="eastAsia"/>
          <w:lang w:val="en-US" w:eastAsia="zh-CN"/>
        </w:rPr>
      </w:pPr>
    </w:p>
    <w:p>
      <w:pPr>
        <w:pStyle w:val="9"/>
        <w:bidi w:val="0"/>
        <w:rPr>
          <w:rFonts w:hint="eastAsia"/>
          <w:lang w:val="en-US" w:eastAsia="zh-CN"/>
        </w:rPr>
      </w:pP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1" w:name="_Toc17909"/>
      <w:r>
        <w:rPr>
          <w:rFonts w:hint="eastAsia"/>
          <w:sz w:val="30"/>
          <w:szCs w:val="30"/>
          <w:lang w:val="en-US" w:eastAsia="zh-CN"/>
        </w:rPr>
        <w:t>二、验收依据</w:t>
      </w:r>
      <w:bookmarkEnd w:id="1"/>
    </w:p>
    <w:p>
      <w:pPr>
        <w:pStyle w:val="16"/>
        <w:bidi w:val="0"/>
        <w:rPr>
          <w:rFonts w:hint="eastAsia"/>
          <w:sz w:val="24"/>
          <w:szCs w:val="22"/>
          <w:lang w:val="en-US" w:eastAsia="zh-CN"/>
        </w:rPr>
      </w:pPr>
      <w:bookmarkStart w:id="2" w:name="_Toc20072"/>
      <w:r>
        <w:rPr>
          <w:rFonts w:hint="eastAsia"/>
          <w:sz w:val="24"/>
          <w:szCs w:val="22"/>
          <w:lang w:val="en-US" w:eastAsia="zh-CN"/>
        </w:rPr>
        <w:t>2.1 建设项目环境保护相关法律、法规和规章制度</w:t>
      </w:r>
      <w:bookmarkEnd w:id="2"/>
    </w:p>
    <w:p>
      <w:pPr>
        <w:pStyle w:val="9"/>
        <w:bidi w:val="0"/>
        <w:rPr>
          <w:rFonts w:hint="eastAsia"/>
          <w:lang w:val="en-US" w:eastAsia="zh-CN"/>
        </w:rPr>
      </w:pPr>
      <w:r>
        <w:rPr>
          <w:rFonts w:hint="eastAsia"/>
          <w:lang w:val="en-US" w:eastAsia="zh-CN"/>
        </w:rPr>
        <w:t>（1）《中华人民共和国水污染防治法》，2018年1月1日；</w:t>
      </w:r>
    </w:p>
    <w:p>
      <w:pPr>
        <w:pStyle w:val="9"/>
        <w:bidi w:val="0"/>
        <w:rPr>
          <w:rFonts w:hint="eastAsia"/>
          <w:lang w:val="en-US" w:eastAsia="zh-CN"/>
        </w:rPr>
      </w:pPr>
      <w:r>
        <w:rPr>
          <w:rFonts w:hint="eastAsia"/>
          <w:lang w:val="en-US" w:eastAsia="zh-CN"/>
        </w:rPr>
        <w:t>（2）《中华人民共和国大气污染防治法》，2018年10月26日；</w:t>
      </w:r>
    </w:p>
    <w:p>
      <w:pPr>
        <w:pStyle w:val="9"/>
        <w:bidi w:val="0"/>
        <w:rPr>
          <w:rFonts w:hint="eastAsia"/>
          <w:lang w:val="en-US" w:eastAsia="zh-CN"/>
        </w:rPr>
      </w:pPr>
      <w:r>
        <w:rPr>
          <w:rFonts w:hint="eastAsia"/>
          <w:lang w:val="en-US" w:eastAsia="zh-CN"/>
        </w:rPr>
        <w:t>（3）《中华人民共和国环境噪声污染防治法》，2018年12月29日；</w:t>
      </w:r>
    </w:p>
    <w:p>
      <w:pPr>
        <w:pStyle w:val="9"/>
        <w:bidi w:val="0"/>
        <w:rPr>
          <w:rFonts w:hint="eastAsia"/>
          <w:lang w:val="en-US" w:eastAsia="zh-CN"/>
        </w:rPr>
      </w:pPr>
      <w:r>
        <w:rPr>
          <w:rFonts w:hint="eastAsia"/>
          <w:lang w:val="en-US" w:eastAsia="zh-CN"/>
        </w:rPr>
        <w:t>（4）《中华人民共和国固体废物污染环境防治法》，2016年11月7日修正版；</w:t>
      </w:r>
    </w:p>
    <w:p>
      <w:pPr>
        <w:pStyle w:val="9"/>
        <w:bidi w:val="0"/>
        <w:rPr>
          <w:rFonts w:hint="eastAsia"/>
          <w:lang w:val="en-US" w:eastAsia="zh-CN"/>
        </w:rPr>
      </w:pPr>
      <w:r>
        <w:rPr>
          <w:rFonts w:hint="eastAsia"/>
          <w:lang w:val="en-US" w:eastAsia="zh-CN"/>
        </w:rPr>
        <w:t>（5）《建设项目环境保护管理条例》，国务院第682号令，2017年10月1日；</w:t>
      </w:r>
    </w:p>
    <w:p>
      <w:pPr>
        <w:pStyle w:val="9"/>
        <w:bidi w:val="0"/>
        <w:rPr>
          <w:rFonts w:hint="eastAsia"/>
          <w:lang w:val="en-US" w:eastAsia="zh-CN"/>
        </w:rPr>
      </w:pPr>
      <w:r>
        <w:rPr>
          <w:rFonts w:hint="eastAsia"/>
          <w:lang w:val="en-US" w:eastAsia="zh-CN"/>
        </w:rPr>
        <w:t>（6）《关于规范建设单位自主开展建设项目竣工环境保护验收的通知（征求意见稿）》，环办环评函[2017]1235号，2017年10月13日；</w:t>
      </w:r>
    </w:p>
    <w:p>
      <w:pPr>
        <w:pStyle w:val="9"/>
        <w:bidi w:val="0"/>
        <w:rPr>
          <w:rFonts w:hint="eastAsia"/>
          <w:lang w:val="en-US" w:eastAsia="zh-CN"/>
        </w:rPr>
      </w:pPr>
      <w:r>
        <w:rPr>
          <w:rFonts w:hint="eastAsia"/>
          <w:lang w:val="en-US" w:eastAsia="zh-CN"/>
        </w:rPr>
        <w:t>（7）《建设项目竣工环境保护验收暂行办法》，国环规环评[2017]4号，2017年11月22日；</w:t>
      </w:r>
    </w:p>
    <w:p>
      <w:pPr>
        <w:pStyle w:val="9"/>
        <w:bidi w:val="0"/>
        <w:rPr>
          <w:rFonts w:hint="eastAsia"/>
          <w:lang w:val="en-US" w:eastAsia="zh-CN"/>
        </w:rPr>
      </w:pPr>
      <w:r>
        <w:rPr>
          <w:rFonts w:hint="eastAsia"/>
          <w:lang w:val="en-US" w:eastAsia="zh-CN"/>
        </w:rPr>
        <w:t>（8）《合肥市环境保护局关于开展建设项目竣工环境保护验收有关事项的公告》，2018年2月13日。</w:t>
      </w:r>
    </w:p>
    <w:p>
      <w:pPr>
        <w:pStyle w:val="16"/>
        <w:bidi w:val="0"/>
        <w:rPr>
          <w:rFonts w:hint="eastAsia"/>
          <w:sz w:val="24"/>
          <w:szCs w:val="22"/>
          <w:lang w:val="en-US" w:eastAsia="zh-CN"/>
        </w:rPr>
      </w:pPr>
      <w:bookmarkStart w:id="3" w:name="_Toc21317"/>
      <w:r>
        <w:rPr>
          <w:rFonts w:hint="eastAsia"/>
          <w:sz w:val="24"/>
          <w:szCs w:val="22"/>
          <w:lang w:val="en-US" w:eastAsia="zh-CN"/>
        </w:rPr>
        <w:t>2.2 建设项目竣工环境保护验收技术规范</w:t>
      </w:r>
      <w:bookmarkEnd w:id="3"/>
    </w:p>
    <w:p>
      <w:pPr>
        <w:pStyle w:val="9"/>
        <w:bidi w:val="0"/>
        <w:rPr>
          <w:rFonts w:hint="eastAsia"/>
          <w:lang w:val="en-US" w:eastAsia="zh-CN"/>
        </w:rPr>
      </w:pPr>
      <w:r>
        <w:rPr>
          <w:rFonts w:hint="eastAsia"/>
          <w:lang w:val="en-US" w:eastAsia="zh-CN"/>
        </w:rPr>
        <w:t>《建设项目竣工环境保护验收技术指南 污染影响类》，环办环评函[2018]9号，2018年5月15日。</w:t>
      </w:r>
    </w:p>
    <w:p>
      <w:pPr>
        <w:pStyle w:val="16"/>
        <w:bidi w:val="0"/>
        <w:rPr>
          <w:rFonts w:hint="eastAsia"/>
          <w:sz w:val="24"/>
          <w:szCs w:val="22"/>
          <w:lang w:val="en-US" w:eastAsia="zh-CN"/>
        </w:rPr>
      </w:pPr>
      <w:bookmarkStart w:id="4" w:name="_Toc4861"/>
      <w:r>
        <w:rPr>
          <w:rFonts w:hint="eastAsia"/>
          <w:sz w:val="24"/>
          <w:szCs w:val="22"/>
          <w:lang w:val="en-US" w:eastAsia="zh-CN"/>
        </w:rPr>
        <w:t>2.3 建设项目环境影响报告书（表）及审批部门审批决定</w:t>
      </w:r>
      <w:bookmarkEnd w:id="4"/>
    </w:p>
    <w:p>
      <w:pPr>
        <w:pStyle w:val="9"/>
        <w:bidi w:val="0"/>
        <w:rPr>
          <w:rFonts w:hint="eastAsia"/>
          <w:lang w:val="en-US" w:eastAsia="zh-CN"/>
        </w:rPr>
      </w:pPr>
      <w:r>
        <w:rPr>
          <w:rFonts w:hint="eastAsia"/>
          <w:lang w:val="en-US" w:eastAsia="zh-CN"/>
        </w:rPr>
        <w:t>（1）《合肥东陆混凝土有限公司混凝土生产项目环境影响报告表》，合肥市环境保护科学研究所，2008年2月；</w:t>
      </w:r>
    </w:p>
    <w:p>
      <w:pPr>
        <w:pStyle w:val="9"/>
        <w:bidi w:val="0"/>
        <w:rPr>
          <w:rFonts w:hint="eastAsia"/>
          <w:lang w:val="en-US" w:eastAsia="zh-CN"/>
        </w:rPr>
      </w:pPr>
      <w:r>
        <w:rPr>
          <w:rFonts w:hint="eastAsia"/>
          <w:lang w:val="en-US" w:eastAsia="zh-CN"/>
        </w:rPr>
        <w:t>（2）《合肥东陆混凝土有限公司混凝土生产项目&lt;环境影响报告表&gt;批复》，长丰县环境保护局，表、长环建[2008]9号，2008年3月10日。</w:t>
      </w:r>
    </w:p>
    <w:p>
      <w:pPr>
        <w:pStyle w:val="16"/>
        <w:bidi w:val="0"/>
        <w:rPr>
          <w:rFonts w:hint="eastAsia"/>
          <w:sz w:val="24"/>
          <w:szCs w:val="22"/>
          <w:lang w:val="en-US" w:eastAsia="zh-CN"/>
        </w:rPr>
      </w:pPr>
      <w:bookmarkStart w:id="5" w:name="_Toc11800"/>
      <w:r>
        <w:rPr>
          <w:rFonts w:hint="eastAsia"/>
          <w:sz w:val="24"/>
          <w:szCs w:val="22"/>
          <w:lang w:val="en-US" w:eastAsia="zh-CN"/>
        </w:rPr>
        <w:t>2.4 其他相关文件</w:t>
      </w:r>
      <w:bookmarkEnd w:id="5"/>
    </w:p>
    <w:p>
      <w:pPr>
        <w:pStyle w:val="9"/>
        <w:bidi w:val="0"/>
        <w:rPr>
          <w:rFonts w:hint="eastAsia"/>
          <w:lang w:val="en-US" w:eastAsia="zh-CN"/>
        </w:rPr>
      </w:pPr>
      <w:r>
        <w:rPr>
          <w:rFonts w:hint="eastAsia"/>
          <w:lang w:val="en-US" w:eastAsia="zh-CN"/>
        </w:rPr>
        <w:t>（1）《合肥东陆混凝土有限公司混凝土生产项目检测报告</w:t>
      </w:r>
      <w:r>
        <w:rPr>
          <w:rFonts w:hint="eastAsia"/>
          <w:color w:val="auto"/>
          <w:lang w:val="en-US" w:eastAsia="zh-CN"/>
        </w:rPr>
        <w:t>》（报告编号：JCYS1811062号），</w:t>
      </w:r>
      <w:r>
        <w:rPr>
          <w:rFonts w:hint="eastAsia"/>
          <w:lang w:val="en-US" w:eastAsia="zh-CN"/>
        </w:rPr>
        <w:t>安徽省中望环保节能检测有限公司</w:t>
      </w:r>
      <w:r>
        <w:rPr>
          <w:rFonts w:hint="eastAsia"/>
          <w:color w:val="auto"/>
          <w:lang w:val="en-US" w:eastAsia="zh-CN"/>
        </w:rPr>
        <w:t>，2018年12月05日；</w:t>
      </w:r>
    </w:p>
    <w:p>
      <w:pPr>
        <w:pStyle w:val="9"/>
        <w:bidi w:val="0"/>
        <w:rPr>
          <w:rFonts w:hint="eastAsia"/>
          <w:color w:val="auto"/>
          <w:lang w:val="en-US" w:eastAsia="zh-CN"/>
        </w:rPr>
      </w:pPr>
      <w:r>
        <w:rPr>
          <w:rFonts w:hint="eastAsia"/>
          <w:color w:val="auto"/>
          <w:lang w:val="en-US" w:eastAsia="zh-CN"/>
        </w:rPr>
        <w:t>（2）合肥东陆混凝土有限公司提供的其他有关技术资料及文件。</w:t>
      </w: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6" w:name="_Toc15987"/>
      <w:r>
        <w:rPr>
          <w:rFonts w:hint="eastAsia"/>
          <w:sz w:val="30"/>
          <w:szCs w:val="30"/>
          <w:lang w:val="en-US" w:eastAsia="zh-CN"/>
        </w:rPr>
        <w:t>三、工程建设情况</w:t>
      </w:r>
      <w:bookmarkEnd w:id="6"/>
    </w:p>
    <w:p>
      <w:pPr>
        <w:pStyle w:val="16"/>
        <w:bidi w:val="0"/>
        <w:rPr>
          <w:rFonts w:hint="eastAsia"/>
          <w:sz w:val="24"/>
          <w:szCs w:val="22"/>
          <w:lang w:val="en-US" w:eastAsia="zh-CN"/>
        </w:rPr>
      </w:pPr>
      <w:bookmarkStart w:id="7" w:name="_Toc22285"/>
      <w:r>
        <w:rPr>
          <w:rFonts w:hint="eastAsia"/>
          <w:sz w:val="24"/>
          <w:szCs w:val="22"/>
          <w:lang w:val="en-US" w:eastAsia="zh-CN"/>
        </w:rPr>
        <w:t>3.1 地理位置及平面布置</w:t>
      </w:r>
      <w:bookmarkEnd w:id="7"/>
    </w:p>
    <w:p>
      <w:pPr>
        <w:pStyle w:val="17"/>
        <w:bidi w:val="0"/>
        <w:rPr>
          <w:rFonts w:hint="eastAsia"/>
          <w:lang w:val="en-US" w:eastAsia="zh-CN"/>
        </w:rPr>
      </w:pPr>
      <w:r>
        <w:rPr>
          <w:rFonts w:hint="eastAsia"/>
          <w:lang w:val="en-US" w:eastAsia="zh-CN"/>
        </w:rPr>
        <w:t>3.1.1 项目地理位置</w:t>
      </w:r>
    </w:p>
    <w:p>
      <w:pPr>
        <w:pStyle w:val="9"/>
        <w:bidi w:val="0"/>
        <w:rPr>
          <w:rFonts w:hint="eastAsia"/>
          <w:lang w:val="en-US" w:eastAsia="zh-CN"/>
        </w:rPr>
      </w:pPr>
      <w:r>
        <w:rPr>
          <w:rFonts w:hint="eastAsia"/>
          <w:lang w:val="en-US" w:eastAsia="zh-CN"/>
        </w:rPr>
        <w:t>合肥东陆混凝土有限公司混凝土生产项目建设地点位于合肥市长丰县双凤经济开发区阜阳北路以东、金兰路以南</w:t>
      </w:r>
      <w:r>
        <w:rPr>
          <w:rFonts w:hint="eastAsia"/>
          <w:color w:val="auto"/>
          <w:lang w:val="en-US" w:eastAsia="zh-CN"/>
        </w:rPr>
        <w:t>（东经117</w:t>
      </w:r>
      <w:r>
        <w:rPr>
          <w:rFonts w:hint="default" w:ascii="Times New Roman" w:hAnsi="Times New Roman" w:cs="Times New Roman"/>
          <w:color w:val="auto"/>
          <w:lang w:val="en-US" w:eastAsia="zh-CN"/>
        </w:rPr>
        <w:t>°</w:t>
      </w:r>
      <w:r>
        <w:rPr>
          <w:rFonts w:hint="eastAsia"/>
          <w:color w:val="auto"/>
          <w:lang w:val="en-US" w:eastAsia="zh-CN"/>
        </w:rPr>
        <w:t>15'28.67"，北纬31</w:t>
      </w:r>
      <w:r>
        <w:rPr>
          <w:rFonts w:hint="default" w:ascii="Times New Roman" w:hAnsi="Times New Roman" w:cs="Times New Roman"/>
          <w:color w:val="auto"/>
          <w:lang w:val="en-US" w:eastAsia="zh-CN"/>
        </w:rPr>
        <w:t>°</w:t>
      </w:r>
      <w:r>
        <w:rPr>
          <w:rFonts w:hint="eastAsia"/>
          <w:color w:val="auto"/>
          <w:lang w:val="en-US" w:eastAsia="zh-CN"/>
        </w:rPr>
        <w:t>58'48.65"），系租赁华盛轻工（合肥）有限公司东侧厂区作为生产场所（约15亩）</w:t>
      </w:r>
      <w:r>
        <w:rPr>
          <w:rFonts w:hint="eastAsia"/>
          <w:lang w:val="en-US" w:eastAsia="zh-CN"/>
        </w:rPr>
        <w:t>（详见图3.1-1项目区地理位置图）。</w:t>
      </w:r>
    </w:p>
    <w:p>
      <w:pPr>
        <w:pStyle w:val="9"/>
        <w:bidi w:val="0"/>
        <w:rPr>
          <w:rFonts w:hint="eastAsia"/>
          <w:color w:val="auto"/>
          <w:lang w:val="en-US" w:eastAsia="zh-CN"/>
        </w:rPr>
      </w:pPr>
      <w:r>
        <w:rPr>
          <w:rFonts w:hint="eastAsia"/>
          <w:color w:val="auto"/>
          <w:lang w:val="en-US" w:eastAsia="zh-CN"/>
        </w:rPr>
        <w:t>合肥东陆混凝土有限公司东隔凤庆路为合肥天风塑料机械有限公司，南邻国泰食品有限公司，西侧为华盛轻工（合肥）有限公司，北隔金兰路为安徽省快马印务有限公司。</w:t>
      </w:r>
    </w:p>
    <w:p>
      <w:pPr>
        <w:pStyle w:val="9"/>
        <w:bidi w:val="0"/>
        <w:rPr>
          <w:rFonts w:hint="eastAsia"/>
          <w:color w:val="auto"/>
          <w:lang w:val="en-US" w:eastAsia="zh-CN"/>
        </w:rPr>
      </w:pPr>
      <w:r>
        <w:rPr>
          <w:rFonts w:hint="eastAsia"/>
          <w:color w:val="auto"/>
          <w:lang w:val="en-US" w:eastAsia="zh-CN"/>
        </w:rPr>
        <w:t>合肥东陆混凝土有限公司系租赁华盛轻工（合肥）有限公司厂区，位于华盛轻工（合肥）有限公司东侧，华盛轻工（合肥）有限公司厂区东隔凤庆路为合肥天风塑料机械有限公司、合肥紫燕食品有限公司，南邻国泰食品有限公司，西隔阜阳北路为合肥厚德中学、合肥丰力电力工程有限公司，北隔金兰路为安徽省快马印务有限公司（详见图3.1-2项目区周边情况示意图）。</w:t>
      </w:r>
    </w:p>
    <w:p>
      <w:pPr>
        <w:pStyle w:val="9"/>
        <w:bidi w:val="0"/>
        <w:rPr>
          <w:rFonts w:hint="eastAsia"/>
          <w:lang w:val="en-US" w:eastAsia="zh-CN"/>
        </w:rPr>
      </w:pPr>
    </w:p>
    <w:p>
      <w:pPr>
        <w:pStyle w:val="9"/>
        <w:bidi w:val="0"/>
        <w:rPr>
          <w:rFonts w:hint="eastAsia"/>
          <w:lang w:val="en-US" w:eastAsia="zh-CN"/>
        </w:rPr>
      </w:pPr>
    </w:p>
    <w:p>
      <w:pPr>
        <w:pStyle w:val="9"/>
        <w:bidi w:val="0"/>
        <w:rPr>
          <w:rFonts w:hint="eastAsia"/>
          <w:lang w:val="en-US" w:eastAsia="zh-CN"/>
        </w:rPr>
      </w:pPr>
    </w:p>
    <w:p>
      <w:pPr>
        <w:pStyle w:val="9"/>
        <w:bidi w:val="0"/>
        <w:rPr>
          <w:rFonts w:hint="eastAsia"/>
          <w:lang w:val="en-US" w:eastAsia="zh-CN"/>
        </w:rPr>
      </w:pPr>
    </w:p>
    <w:p>
      <w:pPr>
        <w:pStyle w:val="9"/>
        <w:bidi w:val="0"/>
        <w:rPr>
          <w:rFonts w:hint="eastAsia"/>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13"/>
        <w:bidi w:val="0"/>
        <w:rPr>
          <w:rFonts w:hint="eastAsia"/>
          <w:lang w:val="en-US" w:eastAsia="zh-CN"/>
        </w:rPr>
      </w:pPr>
      <w:r>
        <w:rPr>
          <w:rFonts w:hint="eastAsia"/>
          <w:lang w:val="en-US" w:eastAsia="zh-CN"/>
        </w:rPr>
        <w:drawing>
          <wp:inline distT="0" distB="0" distL="114300" distR="114300">
            <wp:extent cx="8857615" cy="4914265"/>
            <wp:effectExtent l="47625" t="47625" r="48260" b="48260"/>
            <wp:docPr id="5" name="图片 5" descr="东陆所在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东陆所在地"/>
                    <pic:cNvPicPr>
                      <a:picLocks noChangeAspect="1"/>
                    </pic:cNvPicPr>
                  </pic:nvPicPr>
                  <pic:blipFill>
                    <a:blip r:embed="rId5"/>
                    <a:stretch>
                      <a:fillRect/>
                    </a:stretch>
                  </pic:blipFill>
                  <pic:spPr>
                    <a:xfrm>
                      <a:off x="0" y="0"/>
                      <a:ext cx="8857615" cy="4914265"/>
                    </a:xfrm>
                    <a:prstGeom prst="rect">
                      <a:avLst/>
                    </a:prstGeom>
                    <a:ln w="47625" cmpd="thickThin">
                      <a:solidFill>
                        <a:schemeClr val="tx1"/>
                      </a:solidFill>
                    </a:ln>
                  </pic:spPr>
                </pic:pic>
              </a:graphicData>
            </a:graphic>
          </wp:inline>
        </w:drawing>
      </w:r>
    </w:p>
    <w:p>
      <w:pPr>
        <w:pStyle w:val="13"/>
        <w:bidi w:val="0"/>
        <w:rPr>
          <w:rFonts w:hint="eastAsia"/>
          <w:lang w:val="en-US" w:eastAsia="zh-CN"/>
        </w:rPr>
      </w:pPr>
      <w:r>
        <w:rPr>
          <w:rFonts w:hint="eastAsia"/>
          <w:lang w:val="en-US" w:eastAsia="zh-CN"/>
        </w:rPr>
        <w:t>图3.1-1    项目区地理位置图</w:t>
      </w:r>
    </w:p>
    <w:p>
      <w:pPr>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pPr>
        <w:jc w:val="center"/>
        <w:rPr>
          <w:rFonts w:hint="eastAsia"/>
          <w:color w:val="auto"/>
          <w:highlight w:val="none"/>
          <w:lang w:val="en-US" w:eastAsia="zh-CN"/>
        </w:rPr>
      </w:pPr>
      <w:r>
        <w:rPr>
          <w:rFonts w:hint="eastAsia"/>
          <w:lang w:val="en-US" w:eastAsia="zh-CN"/>
        </w:rPr>
        <w:object>
          <v:shape id="_x0000_i1025" o:spt="75" type="#_x0000_t75" style="height:380.2pt;width:415pt;" o:ole="t" filled="f" o:preferrelative="t" stroked="t" coordsize="21600,21600">
            <v:path/>
            <v:fill on="f" focussize="0,0"/>
            <v:stroke weight="3pt" color="#000000" linestyle="thinThick"/>
            <v:imagedata r:id="rId7" o:title=""/>
            <o:lock v:ext="edit" aspectratio="f"/>
            <w10:wrap type="none"/>
            <w10:anchorlock/>
          </v:shape>
          <o:OLEObject Type="Embed" ProgID="Visio.Drawing.11" ShapeID="_x0000_i1025" DrawAspect="Content" ObjectID="_1468075725" r:id="rId6">
            <o:LockedField>false</o:LockedField>
          </o:OLEObject>
        </w:object>
      </w:r>
    </w:p>
    <w:p>
      <w:pPr>
        <w:pStyle w:val="13"/>
        <w:bidi w:val="0"/>
        <w:rPr>
          <w:rFonts w:hint="eastAsia"/>
          <w:color w:val="auto"/>
          <w:highlight w:val="none"/>
          <w:lang w:val="en-US" w:eastAsia="zh-CN"/>
        </w:rPr>
      </w:pPr>
      <w:r>
        <w:rPr>
          <w:rFonts w:hint="eastAsia"/>
          <w:color w:val="auto"/>
          <w:highlight w:val="none"/>
          <w:lang w:val="en-US" w:eastAsia="zh-CN"/>
        </w:rPr>
        <w:t>图3.1-2    项目区周边情况示意图</w:t>
      </w:r>
    </w:p>
    <w:p>
      <w:pPr>
        <w:jc w:val="both"/>
        <w:rPr>
          <w:rFonts w:hint="eastAsia"/>
          <w:color w:val="auto"/>
          <w:lang w:val="en-US" w:eastAsia="zh-CN"/>
        </w:rPr>
      </w:pPr>
    </w:p>
    <w:p>
      <w:pPr>
        <w:rPr>
          <w:rFonts w:hint="eastAsia"/>
          <w:lang w:val="en-US" w:eastAsia="zh-CN"/>
        </w:rPr>
      </w:pPr>
      <w:r>
        <w:rPr>
          <w:rFonts w:hint="eastAsia"/>
          <w:lang w:val="en-US" w:eastAsia="zh-CN"/>
        </w:rPr>
        <w:br w:type="page"/>
      </w:r>
    </w:p>
    <w:p>
      <w:pPr>
        <w:pStyle w:val="17"/>
        <w:bidi w:val="0"/>
        <w:rPr>
          <w:rFonts w:hint="eastAsia"/>
          <w:lang w:val="en-US" w:eastAsia="zh-CN"/>
        </w:rPr>
      </w:pPr>
      <w:r>
        <w:rPr>
          <w:rFonts w:hint="eastAsia"/>
          <w:lang w:val="en-US" w:eastAsia="zh-CN"/>
        </w:rPr>
        <w:t>3.1.2 项目平面布置</w:t>
      </w:r>
    </w:p>
    <w:p>
      <w:pPr>
        <w:pStyle w:val="9"/>
        <w:bidi w:val="0"/>
        <w:rPr>
          <w:rFonts w:hint="eastAsia"/>
          <w:highlight w:val="none"/>
          <w:lang w:val="en-US" w:eastAsia="zh-CN"/>
        </w:rPr>
      </w:pPr>
      <w:r>
        <w:rPr>
          <w:rFonts w:hint="eastAsia"/>
          <w:lang w:val="en-US" w:eastAsia="zh-CN"/>
        </w:rPr>
        <w:t>项目区整体呈长方形，在厂区北侧设一个主出入口，作为人流</w:t>
      </w:r>
      <w:r>
        <w:rPr>
          <w:rFonts w:hint="eastAsia"/>
          <w:highlight w:val="none"/>
          <w:lang w:val="en-US" w:eastAsia="zh-CN"/>
        </w:rPr>
        <w:t>物流进出入口。</w:t>
      </w:r>
    </w:p>
    <w:p>
      <w:pPr>
        <w:pStyle w:val="9"/>
        <w:bidi w:val="0"/>
        <w:rPr>
          <w:rFonts w:hint="default"/>
          <w:highlight w:val="none"/>
          <w:lang w:val="en-US" w:eastAsia="zh-CN"/>
        </w:rPr>
      </w:pPr>
      <w:r>
        <w:rPr>
          <w:rFonts w:hint="eastAsia"/>
          <w:highlight w:val="none"/>
          <w:lang w:val="en-US" w:eastAsia="zh-CN"/>
        </w:rPr>
        <w:t>项目厂区可分为东、西两部分，东侧由北到南为门卫室和食堂、停车区、办公楼（3层）、三级沉淀池、保洁废水沉淀池、一级沉淀池和二级沉淀池、砂石分离机；西侧由北到南为配电室和化验室、维修区和停车区、计量室、上料间及皮带运输机、矿渣粉圆筒料仓（1#）、水泥圆筒料仓（2#、3#）、粉煤灰圆筒料仓（4#）、搅拌主楼、封闭顶盖料场。</w:t>
      </w:r>
    </w:p>
    <w:p>
      <w:pPr>
        <w:pStyle w:val="9"/>
        <w:bidi w:val="0"/>
        <w:rPr>
          <w:rFonts w:hint="eastAsia"/>
          <w:highlight w:val="none"/>
          <w:lang w:val="en-US" w:eastAsia="zh-CN"/>
        </w:rPr>
      </w:pPr>
      <w:r>
        <w:rPr>
          <w:rFonts w:hint="eastAsia"/>
          <w:highlight w:val="none"/>
          <w:lang w:val="en-US" w:eastAsia="zh-CN"/>
        </w:rPr>
        <w:t>企业于水泥圆筒料仓（3#）和粉煤灰圆筒料仓（4#）仓顶均各设置了一台脉冲袋式除尘器和一根排气筒，排气筒离地高度均为25m。厂区平面布置详见图3.1-3项目区总平面布置图。</w:t>
      </w:r>
    </w:p>
    <w:p>
      <w:pPr>
        <w:rPr>
          <w:rFonts w:hint="eastAsia"/>
          <w:lang w:val="en-US" w:eastAsia="zh-CN"/>
        </w:rPr>
      </w:pPr>
      <w:r>
        <w:rPr>
          <w:rFonts w:hint="eastAsia"/>
          <w:lang w:val="en-US" w:eastAsia="zh-CN"/>
        </w:rPr>
        <w:br w:type="page"/>
      </w:r>
    </w:p>
    <w:p>
      <w:pPr>
        <w:bidi w:val="0"/>
        <w:jc w:val="center"/>
        <w:rPr>
          <w:rStyle w:val="14"/>
          <w:rFonts w:hint="eastAsia"/>
          <w:lang w:val="en-US" w:eastAsia="zh-CN"/>
        </w:rPr>
      </w:pPr>
      <w:r>
        <w:rPr>
          <w:rStyle w:val="14"/>
          <w:rFonts w:hint="eastAsia"/>
          <w:lang w:val="en-US" w:eastAsia="zh-CN"/>
        </w:rPr>
        <w:object>
          <v:shape id="_x0000_i1026" o:spt="75" type="#_x0000_t75" style="height:547.25pt;width:410.4pt;" o:ole="t" filled="f" o:preferrelative="t" stroked="t" coordsize="21600,21600">
            <v:path/>
            <v:fill on="f" focussize="0,0"/>
            <v:stroke weight="3pt" color="#000000" linestyle="thinThick"/>
            <v:imagedata r:id="rId9" o:title=""/>
            <o:lock v:ext="edit" aspectratio="f"/>
            <w10:wrap type="none"/>
            <w10:anchorlock/>
          </v:shape>
          <o:OLEObject Type="Embed" ProgID="Visio.Drawing.11" ShapeID="_x0000_i1026" DrawAspect="Content" ObjectID="_1468075726" r:id="rId8">
            <o:LockedField>false</o:LockedField>
          </o:OLEObject>
        </w:object>
      </w:r>
    </w:p>
    <w:p>
      <w:pPr>
        <w:bidi w:val="0"/>
        <w:jc w:val="center"/>
        <w:rPr>
          <w:rFonts w:hint="eastAsia"/>
          <w:lang w:val="en-US" w:eastAsia="zh-CN"/>
        </w:rPr>
      </w:pPr>
      <w:r>
        <w:rPr>
          <w:rStyle w:val="14"/>
          <w:rFonts w:hint="eastAsia"/>
          <w:lang w:val="en-US" w:eastAsia="zh-CN"/>
        </w:rPr>
        <w:t>图3.1-3    项目区总</w:t>
      </w:r>
      <w:r>
        <w:rPr>
          <w:rStyle w:val="14"/>
          <w:rFonts w:hint="eastAsia"/>
          <w:highlight w:val="none"/>
          <w:lang w:val="en-US" w:eastAsia="zh-CN"/>
        </w:rPr>
        <w:t>平面布置图</w:t>
      </w:r>
    </w:p>
    <w:p>
      <w:pPr>
        <w:rPr>
          <w:rFonts w:hint="eastAsia"/>
          <w:lang w:val="en-US" w:eastAsia="zh-CN"/>
        </w:rPr>
      </w:pPr>
      <w:r>
        <w:rPr>
          <w:rFonts w:hint="eastAsia"/>
          <w:lang w:val="en-US" w:eastAsia="zh-CN"/>
        </w:rPr>
        <w:br w:type="page"/>
      </w:r>
    </w:p>
    <w:p>
      <w:pPr>
        <w:pStyle w:val="16"/>
        <w:bidi w:val="0"/>
        <w:rPr>
          <w:rFonts w:hint="eastAsia"/>
          <w:sz w:val="24"/>
          <w:szCs w:val="24"/>
          <w:lang w:val="en-US" w:eastAsia="zh-CN"/>
        </w:rPr>
      </w:pPr>
      <w:bookmarkStart w:id="8" w:name="_Toc9260"/>
      <w:r>
        <w:rPr>
          <w:rFonts w:hint="eastAsia"/>
          <w:sz w:val="24"/>
          <w:szCs w:val="24"/>
          <w:lang w:val="en-US" w:eastAsia="zh-CN"/>
        </w:rPr>
        <w:t>3.2 建设内容</w:t>
      </w:r>
      <w:bookmarkEnd w:id="8"/>
    </w:p>
    <w:p>
      <w:pPr>
        <w:pStyle w:val="9"/>
        <w:bidi w:val="0"/>
        <w:rPr>
          <w:rFonts w:hint="default"/>
          <w:lang w:val="en-US" w:eastAsia="zh-CN"/>
        </w:rPr>
      </w:pPr>
      <w:r>
        <w:rPr>
          <w:rFonts w:hint="eastAsia"/>
          <w:lang w:val="en-US" w:eastAsia="zh-CN"/>
        </w:rPr>
        <w:t>本项目主要从事商品混凝土的生产。根据实际混合搅拌设备核算最大生产能力：可年生产混凝土36万m</w:t>
      </w:r>
      <w:r>
        <w:rPr>
          <w:rFonts w:hint="eastAsia"/>
          <w:vertAlign w:val="superscript"/>
          <w:lang w:val="en-US" w:eastAsia="zh-CN"/>
        </w:rPr>
        <w:t>3</w:t>
      </w:r>
      <w:r>
        <w:rPr>
          <w:rFonts w:hint="eastAsia"/>
          <w:lang w:val="en-US" w:eastAsia="zh-CN"/>
        </w:rPr>
        <w:t>/a。产品方案与规模详见表3.2-1，环评及批复建设内容与实际建设内容对比详见表3.2-2。</w:t>
      </w:r>
    </w:p>
    <w:p>
      <w:pPr>
        <w:pStyle w:val="13"/>
        <w:bidi w:val="0"/>
        <w:rPr>
          <w:rFonts w:hint="eastAsia"/>
          <w:lang w:val="en-US" w:eastAsia="zh-CN"/>
        </w:rPr>
      </w:pPr>
      <w:r>
        <w:rPr>
          <w:rFonts w:hint="eastAsia"/>
          <w:lang w:val="en-US" w:eastAsia="zh-CN"/>
        </w:rPr>
        <w:t>表3.2-1    产品方案与规模一览表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1882"/>
        <w:gridCol w:w="2549"/>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63"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产品名称</w:t>
            </w:r>
          </w:p>
        </w:tc>
        <w:tc>
          <w:tcPr>
            <w:tcW w:w="1882" w:type="dxa"/>
            <w:vAlign w:val="center"/>
          </w:tcPr>
          <w:p>
            <w:pPr>
              <w:bidi w:val="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规格</w:t>
            </w:r>
          </w:p>
        </w:tc>
        <w:tc>
          <w:tcPr>
            <w:tcW w:w="2549" w:type="dxa"/>
            <w:vAlign w:val="center"/>
          </w:tcPr>
          <w:p>
            <w:pPr>
              <w:bidi w:val="0"/>
              <w:jc w:val="center"/>
              <w:rPr>
                <w:rFonts w:hint="default" w:ascii="Times New Roman" w:hAnsi="Times New Roman" w:eastAsia="宋体" w:cs="Times New Roman"/>
                <w:b/>
                <w:bCs/>
                <w:sz w:val="21"/>
                <w:szCs w:val="21"/>
                <w:lang w:val="en-US"/>
              </w:rPr>
            </w:pPr>
            <w:r>
              <w:rPr>
                <w:rFonts w:hint="default" w:ascii="Times New Roman" w:hAnsi="Times New Roman" w:eastAsia="宋体" w:cs="Times New Roman"/>
                <w:b/>
                <w:bCs/>
                <w:sz w:val="21"/>
                <w:szCs w:val="21"/>
                <w:lang w:val="en-US" w:eastAsia="zh-CN"/>
              </w:rPr>
              <w:t>环评中</w:t>
            </w:r>
            <w:r>
              <w:rPr>
                <w:rFonts w:hint="eastAsia" w:ascii="Times New Roman" w:hAnsi="Times New Roman" w:eastAsia="宋体" w:cs="Times New Roman"/>
                <w:b/>
                <w:bCs/>
                <w:sz w:val="21"/>
                <w:szCs w:val="21"/>
                <w:lang w:val="en-US" w:eastAsia="zh-CN"/>
              </w:rPr>
              <w:t>设计最大产能</w:t>
            </w:r>
          </w:p>
        </w:tc>
        <w:tc>
          <w:tcPr>
            <w:tcW w:w="2328"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w:t>
            </w:r>
            <w:r>
              <w:rPr>
                <w:rFonts w:hint="eastAsia" w:ascii="Times New Roman" w:hAnsi="Times New Roman" w:eastAsia="宋体" w:cs="Times New Roman"/>
                <w:b/>
                <w:bCs/>
                <w:sz w:val="21"/>
                <w:szCs w:val="21"/>
                <w:lang w:val="en-US" w:eastAsia="zh-CN"/>
              </w:rPr>
              <w:t>最大产能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63" w:type="dxa"/>
            <w:vMerge w:val="restart"/>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商品混凝土</w:t>
            </w:r>
          </w:p>
        </w:tc>
        <w:tc>
          <w:tcPr>
            <w:tcW w:w="188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C12</w:t>
            </w:r>
          </w:p>
        </w:tc>
        <w:tc>
          <w:tcPr>
            <w:tcW w:w="254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2328"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63" w:type="dxa"/>
            <w:vMerge w:val="continue"/>
            <w:vAlign w:val="center"/>
          </w:tcPr>
          <w:p>
            <w:pPr>
              <w:bidi w:val="0"/>
              <w:jc w:val="center"/>
              <w:rPr>
                <w:rFonts w:hint="eastAsia" w:ascii="Times New Roman" w:hAnsi="Times New Roman" w:eastAsia="宋体" w:cs="Times New Roman"/>
                <w:sz w:val="21"/>
                <w:szCs w:val="21"/>
                <w:lang w:eastAsia="zh-CN"/>
              </w:rPr>
            </w:pPr>
          </w:p>
        </w:tc>
        <w:tc>
          <w:tcPr>
            <w:tcW w:w="188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C25</w:t>
            </w:r>
          </w:p>
        </w:tc>
        <w:tc>
          <w:tcPr>
            <w:tcW w:w="254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2328"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63" w:type="dxa"/>
            <w:vMerge w:val="continue"/>
            <w:vAlign w:val="center"/>
          </w:tcPr>
          <w:p>
            <w:pPr>
              <w:bidi w:val="0"/>
              <w:jc w:val="center"/>
              <w:rPr>
                <w:rFonts w:hint="eastAsia" w:ascii="Times New Roman" w:hAnsi="Times New Roman" w:eastAsia="宋体" w:cs="Times New Roman"/>
                <w:sz w:val="21"/>
                <w:szCs w:val="21"/>
                <w:lang w:eastAsia="zh-CN"/>
              </w:rPr>
            </w:pPr>
          </w:p>
        </w:tc>
        <w:tc>
          <w:tcPr>
            <w:tcW w:w="188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C30</w:t>
            </w:r>
          </w:p>
        </w:tc>
        <w:tc>
          <w:tcPr>
            <w:tcW w:w="254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2328"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645" w:type="dxa"/>
            <w:gridSpan w:val="2"/>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总计</w:t>
            </w:r>
          </w:p>
        </w:tc>
        <w:tc>
          <w:tcPr>
            <w:tcW w:w="2549"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36万m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2328"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r>
    </w:tbl>
    <w:p>
      <w:pPr>
        <w:pStyle w:val="13"/>
        <w:bidi w:val="0"/>
        <w:rPr>
          <w:rFonts w:hint="eastAsia"/>
          <w:lang w:val="en-US" w:eastAsia="zh-CN"/>
        </w:rPr>
      </w:pPr>
      <w:r>
        <w:rPr>
          <w:rFonts w:hint="eastAsia"/>
          <w:lang w:val="en-US" w:eastAsia="zh-CN"/>
        </w:rPr>
        <w:t>表3.2-2    环评及批复建设内容与实际建设内容对比一览表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075"/>
        <w:gridCol w:w="1337"/>
        <w:gridCol w:w="1814"/>
        <w:gridCol w:w="1707"/>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7"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075"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单项工程名称</w:t>
            </w:r>
          </w:p>
        </w:tc>
        <w:tc>
          <w:tcPr>
            <w:tcW w:w="4858" w:type="dxa"/>
            <w:gridSpan w:val="3"/>
            <w:vAlign w:val="center"/>
          </w:tcPr>
          <w:p>
            <w:pPr>
              <w:bidi w:val="0"/>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环评及批复要求</w:t>
            </w:r>
          </w:p>
        </w:tc>
        <w:tc>
          <w:tcPr>
            <w:tcW w:w="1932" w:type="dxa"/>
            <w:vMerge w:val="restart"/>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Merge w:val="continue"/>
            <w:vAlign w:val="center"/>
          </w:tcPr>
          <w:p>
            <w:pPr>
              <w:bidi w:val="0"/>
              <w:jc w:val="center"/>
              <w:rPr>
                <w:rFonts w:hint="default" w:ascii="Times New Roman" w:hAnsi="Times New Roman" w:eastAsia="宋体" w:cs="Times New Roman"/>
                <w:b/>
                <w:bCs/>
                <w:sz w:val="21"/>
                <w:szCs w:val="21"/>
              </w:rPr>
            </w:pPr>
          </w:p>
        </w:tc>
        <w:tc>
          <w:tcPr>
            <w:tcW w:w="3151"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环评</w:t>
            </w:r>
            <w:r>
              <w:rPr>
                <w:rFonts w:hint="default" w:ascii="Times New Roman" w:hAnsi="Times New Roman" w:eastAsia="宋体" w:cs="Times New Roman"/>
                <w:b/>
                <w:bCs/>
                <w:sz w:val="21"/>
                <w:szCs w:val="21"/>
              </w:rPr>
              <w:t>工程内容</w:t>
            </w:r>
          </w:p>
        </w:tc>
        <w:tc>
          <w:tcPr>
            <w:tcW w:w="1707"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环评</w:t>
            </w:r>
            <w:r>
              <w:rPr>
                <w:rFonts w:hint="default" w:ascii="Times New Roman" w:hAnsi="Times New Roman" w:eastAsia="宋体" w:cs="Times New Roman"/>
                <w:b/>
                <w:bCs/>
                <w:sz w:val="21"/>
                <w:szCs w:val="21"/>
              </w:rPr>
              <w:t>工程规模</w:t>
            </w:r>
          </w:p>
        </w:tc>
        <w:tc>
          <w:tcPr>
            <w:tcW w:w="1932" w:type="dxa"/>
            <w:vMerge w:val="continue"/>
            <w:vAlign w:val="center"/>
          </w:tcPr>
          <w:p>
            <w:pPr>
              <w:bidi w:val="0"/>
              <w:jc w:val="center"/>
              <w:rPr>
                <w:rFonts w:hint="default" w:ascii="Times New Roman" w:hAnsi="Times New Roman" w:eastAsia="宋体" w:cs="Times New Roman"/>
                <w:b/>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主体</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w:t>
            </w:r>
          </w:p>
        </w:tc>
        <w:tc>
          <w:tcPr>
            <w:tcW w:w="107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搅拌生产线</w:t>
            </w:r>
          </w:p>
        </w:tc>
        <w:tc>
          <w:tcPr>
            <w:tcW w:w="3151" w:type="dxa"/>
            <w:gridSpan w:val="2"/>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位于厂区中部，主要设备为上料区、皮带运输机、搅拌机、装载机等</w:t>
            </w:r>
          </w:p>
        </w:tc>
        <w:tc>
          <w:tcPr>
            <w:tcW w:w="170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eastAsia="zh-CN"/>
              </w:rPr>
              <w:t>建筑面积约</w:t>
            </w:r>
            <w:r>
              <w:rPr>
                <w:rFonts w:hint="eastAsia" w:ascii="Times New Roman" w:hAnsi="Times New Roman" w:eastAsia="宋体" w:cs="Times New Roman"/>
                <w:color w:val="auto"/>
                <w:sz w:val="21"/>
                <w:szCs w:val="21"/>
                <w:lang w:val="en-US" w:eastAsia="zh-CN"/>
              </w:rPr>
              <w:t>1200m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sz w:val="21"/>
                <w:szCs w:val="21"/>
                <w:lang w:eastAsia="zh-CN"/>
              </w:rPr>
              <w:t>生产能力为</w:t>
            </w:r>
            <w:r>
              <w:rPr>
                <w:rFonts w:hint="eastAsia" w:ascii="Times New Roman" w:hAnsi="Times New Roman" w:eastAsia="宋体" w:cs="Times New Roman"/>
                <w:sz w:val="21"/>
                <w:szCs w:val="21"/>
                <w:lang w:val="en-US" w:eastAsia="zh-CN"/>
              </w:rPr>
              <w:t>36万m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/a</w:t>
            </w:r>
          </w:p>
        </w:tc>
        <w:tc>
          <w:tcPr>
            <w:tcW w:w="193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辅助工程</w:t>
            </w:r>
          </w:p>
        </w:tc>
        <w:tc>
          <w:tcPr>
            <w:tcW w:w="1075"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办公楼</w:t>
            </w:r>
          </w:p>
        </w:tc>
        <w:tc>
          <w:tcPr>
            <w:tcW w:w="3151" w:type="dxa"/>
            <w:gridSpan w:val="2"/>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位于厂区东北侧，两层，日常办公人员</w:t>
            </w:r>
            <w:r>
              <w:rPr>
                <w:rFonts w:hint="eastAsia" w:ascii="Times New Roman" w:hAnsi="Times New Roman" w:eastAsia="宋体" w:cs="Times New Roman"/>
                <w:sz w:val="21"/>
                <w:szCs w:val="21"/>
                <w:lang w:val="en-US" w:eastAsia="zh-CN"/>
              </w:rPr>
              <w:t>20人</w:t>
            </w:r>
          </w:p>
        </w:tc>
        <w:tc>
          <w:tcPr>
            <w:tcW w:w="170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建筑面积</w:t>
            </w:r>
            <w:r>
              <w:rPr>
                <w:rFonts w:hint="eastAsia" w:ascii="Times New Roman" w:hAnsi="Times New Roman" w:eastAsia="宋体" w:cs="Times New Roman"/>
                <w:sz w:val="21"/>
                <w:szCs w:val="21"/>
                <w:lang w:val="en-US" w:eastAsia="zh-CN"/>
              </w:rPr>
              <w:t>300m</w:t>
            </w:r>
            <w:r>
              <w:rPr>
                <w:rFonts w:hint="eastAsia" w:ascii="Times New Roman" w:hAnsi="Times New Roman" w:eastAsia="宋体" w:cs="Times New Roman"/>
                <w:sz w:val="21"/>
                <w:szCs w:val="21"/>
                <w:vertAlign w:val="superscript"/>
                <w:lang w:val="en-US" w:eastAsia="zh-CN"/>
              </w:rPr>
              <w:t>2</w:t>
            </w:r>
          </w:p>
        </w:tc>
        <w:tc>
          <w:tcPr>
            <w:tcW w:w="1932"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食堂及餐厅</w:t>
            </w:r>
          </w:p>
        </w:tc>
        <w:tc>
          <w:tcPr>
            <w:tcW w:w="3151" w:type="dxa"/>
            <w:gridSpan w:val="2"/>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位于厂区北侧，就餐员工</w:t>
            </w:r>
            <w:r>
              <w:rPr>
                <w:rFonts w:hint="eastAsia" w:ascii="Times New Roman" w:hAnsi="Times New Roman" w:eastAsia="宋体" w:cs="Times New Roman"/>
                <w:sz w:val="21"/>
                <w:szCs w:val="21"/>
                <w:lang w:val="en-US" w:eastAsia="zh-CN"/>
              </w:rPr>
              <w:t>70人</w:t>
            </w:r>
          </w:p>
        </w:tc>
        <w:tc>
          <w:tcPr>
            <w:tcW w:w="1707" w:type="dxa"/>
            <w:vAlign w:val="center"/>
          </w:tcPr>
          <w:p>
            <w:pPr>
              <w:bidi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建筑面积</w:t>
            </w:r>
            <w:r>
              <w:rPr>
                <w:rFonts w:hint="eastAsia" w:ascii="Times New Roman" w:hAnsi="Times New Roman" w:eastAsia="宋体" w:cs="Times New Roman"/>
                <w:sz w:val="21"/>
                <w:szCs w:val="21"/>
                <w:highlight w:val="none"/>
                <w:lang w:val="en-US" w:eastAsia="zh-CN"/>
              </w:rPr>
              <w:t>100m</w:t>
            </w:r>
            <w:r>
              <w:rPr>
                <w:rFonts w:hint="eastAsia" w:ascii="Times New Roman" w:hAnsi="Times New Roman" w:eastAsia="宋体" w:cs="Times New Roman"/>
                <w:sz w:val="21"/>
                <w:szCs w:val="21"/>
                <w:highlight w:val="none"/>
                <w:vertAlign w:val="superscript"/>
                <w:lang w:val="en-US" w:eastAsia="zh-CN"/>
              </w:rPr>
              <w:t>2</w:t>
            </w:r>
          </w:p>
        </w:tc>
        <w:tc>
          <w:tcPr>
            <w:tcW w:w="1932" w:type="dxa"/>
            <w:vAlign w:val="center"/>
          </w:tcPr>
          <w:p>
            <w:pPr>
              <w:bidi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eastAsia="zh-CN"/>
              </w:rPr>
              <w:t>食堂及餐厅位于厂区北侧，就餐员工</w:t>
            </w:r>
            <w:r>
              <w:rPr>
                <w:rFonts w:hint="eastAsia" w:ascii="Times New Roman" w:hAnsi="Times New Roman" w:eastAsia="宋体" w:cs="Times New Roman"/>
                <w:sz w:val="21"/>
                <w:szCs w:val="21"/>
                <w:highlight w:val="none"/>
                <w:lang w:val="en-US" w:eastAsia="zh-CN"/>
              </w:rPr>
              <w:t>45人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化验室</w:t>
            </w:r>
          </w:p>
        </w:tc>
        <w:tc>
          <w:tcPr>
            <w:tcW w:w="3151" w:type="dxa"/>
            <w:gridSpan w:val="2"/>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位于厂区西北角，主要对成品混凝土进行质量化验</w:t>
            </w:r>
          </w:p>
        </w:tc>
        <w:tc>
          <w:tcPr>
            <w:tcW w:w="170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建筑面积为</w:t>
            </w:r>
            <w:r>
              <w:rPr>
                <w:rFonts w:hint="eastAsia" w:ascii="Times New Roman" w:hAnsi="Times New Roman" w:eastAsia="宋体" w:cs="Times New Roman"/>
                <w:sz w:val="21"/>
                <w:szCs w:val="21"/>
                <w:lang w:val="en-US" w:eastAsia="zh-CN"/>
              </w:rPr>
              <w:t>100m</w:t>
            </w:r>
            <w:r>
              <w:rPr>
                <w:rFonts w:hint="eastAsia" w:ascii="Times New Roman" w:hAnsi="Times New Roman" w:eastAsia="宋体" w:cs="Times New Roman"/>
                <w:sz w:val="21"/>
                <w:szCs w:val="21"/>
                <w:vertAlign w:val="superscript"/>
                <w:lang w:val="en-US" w:eastAsia="zh-CN"/>
              </w:rPr>
              <w:t>2</w:t>
            </w:r>
          </w:p>
        </w:tc>
        <w:tc>
          <w:tcPr>
            <w:tcW w:w="1932"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车胎维修区和计量室</w:t>
            </w:r>
          </w:p>
        </w:tc>
        <w:tc>
          <w:tcPr>
            <w:tcW w:w="3151" w:type="dxa"/>
            <w:gridSpan w:val="2"/>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位于厂区西侧，主要为对运输车辆车胎的维修及对原料的计量</w:t>
            </w:r>
          </w:p>
        </w:tc>
        <w:tc>
          <w:tcPr>
            <w:tcW w:w="1707" w:type="dxa"/>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建筑面积为</w:t>
            </w:r>
            <w:r>
              <w:rPr>
                <w:rFonts w:hint="eastAsia" w:ascii="Times New Roman" w:hAnsi="Times New Roman" w:eastAsia="宋体" w:cs="Times New Roman"/>
                <w:color w:val="auto"/>
                <w:sz w:val="21"/>
                <w:szCs w:val="21"/>
                <w:lang w:val="en-US" w:eastAsia="zh-CN"/>
              </w:rPr>
              <w:t>100m</w:t>
            </w:r>
            <w:r>
              <w:rPr>
                <w:rFonts w:hint="eastAsia" w:ascii="Times New Roman" w:hAnsi="Times New Roman" w:eastAsia="宋体" w:cs="Times New Roman"/>
                <w:color w:val="auto"/>
                <w:sz w:val="21"/>
                <w:szCs w:val="21"/>
                <w:vertAlign w:val="superscript"/>
                <w:lang w:val="en-US" w:eastAsia="zh-CN"/>
              </w:rPr>
              <w:t>2</w:t>
            </w:r>
          </w:p>
        </w:tc>
        <w:tc>
          <w:tcPr>
            <w:tcW w:w="1932" w:type="dxa"/>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储运</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w:t>
            </w:r>
          </w:p>
        </w:tc>
        <w:tc>
          <w:tcPr>
            <w:tcW w:w="1075"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料场</w:t>
            </w:r>
          </w:p>
        </w:tc>
        <w:tc>
          <w:tcPr>
            <w:tcW w:w="3151"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位于厂区南侧，主要存储原料</w:t>
            </w:r>
            <w:r>
              <w:rPr>
                <w:rFonts w:hint="eastAsia" w:ascii="Times New Roman" w:hAnsi="Times New Roman" w:eastAsia="宋体" w:cs="Times New Roman"/>
                <w:color w:val="auto"/>
                <w:sz w:val="21"/>
                <w:szCs w:val="21"/>
                <w:highlight w:val="none"/>
                <w:lang w:eastAsia="zh-CN"/>
              </w:rPr>
              <w:t>黄沙、</w:t>
            </w:r>
            <w:r>
              <w:rPr>
                <w:rFonts w:hint="eastAsia" w:ascii="Times New Roman" w:hAnsi="Times New Roman" w:eastAsia="宋体" w:cs="Times New Roman"/>
                <w:color w:val="auto"/>
                <w:sz w:val="21"/>
                <w:szCs w:val="21"/>
                <w:lang w:eastAsia="zh-CN"/>
              </w:rPr>
              <w:t>石子</w:t>
            </w:r>
          </w:p>
        </w:tc>
        <w:tc>
          <w:tcPr>
            <w:tcW w:w="1707"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建筑面积为</w:t>
            </w:r>
            <w:r>
              <w:rPr>
                <w:rFonts w:hint="eastAsia" w:ascii="Times New Roman" w:hAnsi="Times New Roman" w:eastAsia="宋体" w:cs="Times New Roman"/>
                <w:color w:val="auto"/>
                <w:sz w:val="21"/>
                <w:szCs w:val="21"/>
                <w:lang w:val="en-US" w:eastAsia="zh-CN"/>
              </w:rPr>
              <w:t>3333m</w:t>
            </w:r>
            <w:r>
              <w:rPr>
                <w:rFonts w:hint="eastAsia" w:ascii="Times New Roman" w:hAnsi="Times New Roman" w:eastAsia="宋体" w:cs="Times New Roman"/>
                <w:color w:val="auto"/>
                <w:sz w:val="21"/>
                <w:szCs w:val="21"/>
                <w:vertAlign w:val="superscript"/>
                <w:lang w:val="en-US" w:eastAsia="zh-CN"/>
              </w:rPr>
              <w:t>2</w:t>
            </w:r>
          </w:p>
        </w:tc>
        <w:tc>
          <w:tcPr>
            <w:tcW w:w="1932" w:type="dxa"/>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圆筒料仓</w:t>
            </w:r>
          </w:p>
        </w:tc>
        <w:tc>
          <w:tcPr>
            <w:tcW w:w="3151"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位于厂区中部，共</w:t>
            </w:r>
            <w:r>
              <w:rPr>
                <w:rFonts w:hint="eastAsia" w:ascii="Times New Roman" w:hAnsi="Times New Roman" w:eastAsia="宋体" w:cs="Times New Roman"/>
                <w:color w:val="auto"/>
                <w:sz w:val="21"/>
                <w:szCs w:val="21"/>
                <w:lang w:val="en-US" w:eastAsia="zh-CN"/>
              </w:rPr>
              <w:t>4个圆筒料仓，</w:t>
            </w:r>
          </w:p>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1#圆筒料仓</w:t>
            </w:r>
            <w:r>
              <w:rPr>
                <w:rFonts w:hint="eastAsia" w:ascii="Times New Roman" w:hAnsi="Times New Roman" w:eastAsia="宋体" w:cs="Times New Roman"/>
                <w:color w:val="auto"/>
                <w:sz w:val="21"/>
                <w:szCs w:val="21"/>
                <w:lang w:eastAsia="zh-CN"/>
              </w:rPr>
              <w:t>存储矿渣粉、</w:t>
            </w:r>
            <w:r>
              <w:rPr>
                <w:rFonts w:hint="eastAsia" w:ascii="Times New Roman" w:hAnsi="Times New Roman" w:eastAsia="宋体" w:cs="Times New Roman"/>
                <w:color w:val="auto"/>
                <w:sz w:val="21"/>
                <w:szCs w:val="21"/>
                <w:lang w:val="en-US" w:eastAsia="zh-CN"/>
              </w:rPr>
              <w:t>2#、3#圆筒料仓</w:t>
            </w:r>
            <w:r>
              <w:rPr>
                <w:rFonts w:hint="eastAsia" w:ascii="Times New Roman" w:hAnsi="Times New Roman" w:eastAsia="宋体" w:cs="Times New Roman"/>
                <w:color w:val="auto"/>
                <w:sz w:val="21"/>
                <w:szCs w:val="21"/>
                <w:lang w:eastAsia="zh-CN"/>
              </w:rPr>
              <w:t>存储水泥，</w:t>
            </w:r>
            <w:r>
              <w:rPr>
                <w:rFonts w:hint="eastAsia" w:ascii="Times New Roman" w:hAnsi="Times New Roman" w:eastAsia="宋体" w:cs="Times New Roman"/>
                <w:color w:val="auto"/>
                <w:sz w:val="21"/>
                <w:szCs w:val="21"/>
                <w:lang w:val="en-US" w:eastAsia="zh-CN"/>
              </w:rPr>
              <w:t>4#圆筒料仓</w:t>
            </w:r>
            <w:r>
              <w:rPr>
                <w:rFonts w:hint="eastAsia" w:ascii="Times New Roman" w:hAnsi="Times New Roman" w:eastAsia="宋体" w:cs="Times New Roman"/>
                <w:color w:val="auto"/>
                <w:sz w:val="21"/>
                <w:szCs w:val="21"/>
                <w:lang w:eastAsia="zh-CN"/>
              </w:rPr>
              <w:t>存储粉煤灰</w:t>
            </w:r>
          </w:p>
        </w:tc>
        <w:tc>
          <w:tcPr>
            <w:tcW w:w="1707"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料仓容积均为300m</w:t>
            </w:r>
            <w:r>
              <w:rPr>
                <w:rFonts w:hint="eastAsia" w:ascii="Times New Roman" w:hAnsi="Times New Roman" w:eastAsia="宋体" w:cs="Times New Roman"/>
                <w:color w:val="auto"/>
                <w:sz w:val="21"/>
                <w:szCs w:val="21"/>
                <w:highlight w:val="none"/>
                <w:vertAlign w:val="superscript"/>
                <w:lang w:val="en-US" w:eastAsia="zh-CN"/>
              </w:rPr>
              <w:t>3</w:t>
            </w:r>
          </w:p>
        </w:tc>
        <w:tc>
          <w:tcPr>
            <w:tcW w:w="1932"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外加剂储罐</w:t>
            </w:r>
          </w:p>
        </w:tc>
        <w:tc>
          <w:tcPr>
            <w:tcW w:w="3151"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位于厂区中部，主要储存混凝土生产所需的外加剂</w:t>
            </w:r>
          </w:p>
        </w:tc>
        <w:tc>
          <w:tcPr>
            <w:tcW w:w="1707" w:type="dxa"/>
            <w:vAlign w:val="center"/>
          </w:tcPr>
          <w:p>
            <w:pPr>
              <w:bidi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4个，</w:t>
            </w:r>
            <w:r>
              <w:rPr>
                <w:rFonts w:hint="eastAsia" w:ascii="Times New Roman" w:hAnsi="Times New Roman" w:eastAsia="宋体" w:cs="Times New Roman"/>
                <w:color w:val="auto"/>
                <w:sz w:val="21"/>
                <w:szCs w:val="21"/>
                <w:lang w:eastAsia="zh-CN"/>
              </w:rPr>
              <w:t>储罐容积为</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p>
        </w:tc>
        <w:tc>
          <w:tcPr>
            <w:tcW w:w="1932"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成品储存区</w:t>
            </w:r>
          </w:p>
        </w:tc>
        <w:tc>
          <w:tcPr>
            <w:tcW w:w="3151" w:type="dxa"/>
            <w:gridSpan w:val="2"/>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厂区不设成品储存区，成品商品混凝土由搅拌车运至建筑工地</w:t>
            </w:r>
          </w:p>
        </w:tc>
        <w:tc>
          <w:tcPr>
            <w:tcW w:w="1707"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混凝土搅拌运输车10辆</w:t>
            </w:r>
          </w:p>
        </w:tc>
        <w:tc>
          <w:tcPr>
            <w:tcW w:w="1932"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水池</w:t>
            </w:r>
          </w:p>
        </w:tc>
        <w:tc>
          <w:tcPr>
            <w:tcW w:w="3151" w:type="dxa"/>
            <w:gridSpan w:val="2"/>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位于厂区中部，主要存储商品混凝土搅拌过程的水</w:t>
            </w:r>
          </w:p>
        </w:tc>
        <w:tc>
          <w:tcPr>
            <w:tcW w:w="1707"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容积20m</w:t>
            </w:r>
            <w:r>
              <w:rPr>
                <w:rFonts w:hint="eastAsia" w:ascii="Times New Roman" w:hAnsi="Times New Roman" w:eastAsia="宋体" w:cs="Times New Roman"/>
                <w:color w:val="auto"/>
                <w:sz w:val="21"/>
                <w:szCs w:val="21"/>
                <w:vertAlign w:val="superscript"/>
                <w:lang w:val="en-US" w:eastAsia="zh-CN"/>
              </w:rPr>
              <w:t>2</w:t>
            </w:r>
          </w:p>
        </w:tc>
        <w:tc>
          <w:tcPr>
            <w:tcW w:w="1932"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停车场</w:t>
            </w:r>
          </w:p>
        </w:tc>
        <w:tc>
          <w:tcPr>
            <w:tcW w:w="3151" w:type="dxa"/>
            <w:gridSpan w:val="2"/>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位于厂区东侧；停有</w:t>
            </w:r>
            <w:r>
              <w:rPr>
                <w:rFonts w:hint="eastAsia" w:ascii="Times New Roman" w:hAnsi="Times New Roman" w:eastAsia="宋体" w:cs="Times New Roman"/>
                <w:sz w:val="21"/>
                <w:szCs w:val="21"/>
                <w:lang w:val="en-US" w:eastAsia="zh-CN"/>
              </w:rPr>
              <w:t>混凝土搅拌运输车10辆，装载机1辆</w:t>
            </w:r>
          </w:p>
        </w:tc>
        <w:tc>
          <w:tcPr>
            <w:tcW w:w="170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eastAsia="zh-CN"/>
              </w:rPr>
              <w:t>面积为</w:t>
            </w:r>
            <w:r>
              <w:rPr>
                <w:rFonts w:hint="eastAsia" w:ascii="Times New Roman" w:hAnsi="Times New Roman" w:eastAsia="宋体" w:cs="Times New Roman"/>
                <w:color w:val="auto"/>
                <w:sz w:val="21"/>
                <w:szCs w:val="21"/>
                <w:lang w:val="en-US" w:eastAsia="zh-CN"/>
              </w:rPr>
              <w:t>700m</w:t>
            </w:r>
            <w:r>
              <w:rPr>
                <w:rFonts w:hint="eastAsia" w:ascii="Times New Roman" w:hAnsi="Times New Roman" w:eastAsia="宋体" w:cs="Times New Roman"/>
                <w:color w:val="auto"/>
                <w:sz w:val="21"/>
                <w:szCs w:val="21"/>
                <w:vertAlign w:val="superscript"/>
                <w:lang w:val="en-US" w:eastAsia="zh-CN"/>
              </w:rPr>
              <w:t>2</w:t>
            </w:r>
          </w:p>
        </w:tc>
        <w:tc>
          <w:tcPr>
            <w:tcW w:w="1932"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停车场位于厂区西侧，</w:t>
            </w:r>
            <w:r>
              <w:rPr>
                <w:rFonts w:hint="eastAsia" w:ascii="Times New Roman" w:hAnsi="Times New Roman" w:eastAsia="宋体" w:cs="Times New Roman"/>
                <w:color w:val="auto"/>
                <w:sz w:val="21"/>
                <w:szCs w:val="21"/>
                <w:lang w:eastAsia="zh-CN"/>
              </w:rPr>
              <w:t>面积为</w:t>
            </w:r>
            <w:r>
              <w:rPr>
                <w:rFonts w:hint="eastAsia" w:ascii="Times New Roman" w:hAnsi="Times New Roman" w:eastAsia="宋体" w:cs="Times New Roman"/>
                <w:color w:val="auto"/>
                <w:sz w:val="21"/>
                <w:szCs w:val="21"/>
                <w:lang w:val="en-US" w:eastAsia="zh-CN"/>
              </w:rPr>
              <w:t>700m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sz w:val="21"/>
                <w:szCs w:val="21"/>
                <w:lang w:eastAsia="zh-CN"/>
              </w:rPr>
              <w:t>停有</w:t>
            </w:r>
            <w:r>
              <w:rPr>
                <w:rFonts w:hint="eastAsia" w:ascii="Times New Roman" w:hAnsi="Times New Roman" w:eastAsia="宋体" w:cs="Times New Roman"/>
                <w:sz w:val="21"/>
                <w:szCs w:val="21"/>
                <w:lang w:val="en-US" w:eastAsia="zh-CN"/>
              </w:rPr>
              <w:t>混凝土搅拌运输车10辆，装载机1辆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公用</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w:t>
            </w: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给水</w:t>
            </w:r>
          </w:p>
        </w:tc>
        <w:tc>
          <w:tcPr>
            <w:tcW w:w="3151" w:type="dxa"/>
            <w:gridSpan w:val="2"/>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由长丰县市政供水管网供给，依托华盛轻工（合肥）有限公司供水管网</w:t>
            </w:r>
          </w:p>
        </w:tc>
        <w:tc>
          <w:tcPr>
            <w:tcW w:w="1707" w:type="dxa"/>
            <w:vAlign w:val="center"/>
          </w:tcPr>
          <w:p>
            <w:pPr>
              <w:bidi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年用水量65640m</w:t>
            </w:r>
            <w:r>
              <w:rPr>
                <w:rFonts w:hint="eastAsia" w:ascii="Times New Roman" w:hAnsi="Times New Roman" w:eastAsia="宋体" w:cs="Times New Roman"/>
                <w:color w:val="auto"/>
                <w:sz w:val="21"/>
                <w:szCs w:val="21"/>
                <w:highlight w:val="none"/>
                <w:vertAlign w:val="superscript"/>
                <w:lang w:val="en-US" w:eastAsia="zh-CN"/>
              </w:rPr>
              <w:t>3</w:t>
            </w:r>
          </w:p>
        </w:tc>
        <w:tc>
          <w:tcPr>
            <w:tcW w:w="1932" w:type="dxa"/>
            <w:vAlign w:val="center"/>
          </w:tcPr>
          <w:p>
            <w:pPr>
              <w:bidi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实际年用水量59976.8m</w:t>
            </w:r>
            <w:r>
              <w:rPr>
                <w:rFonts w:hint="eastAsia"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排水</w:t>
            </w:r>
          </w:p>
        </w:tc>
        <w:tc>
          <w:tcPr>
            <w:tcW w:w="3151" w:type="dxa"/>
            <w:gridSpan w:val="2"/>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采用雨污分流制，雨水排入市政雨水管道；生产废水不外排，设备冲洗废水经砂石分离机和三级沉淀废水处理工艺处理后回用于生产，厂区保洁废水经保洁废水沉淀池处理后回用于厂区保洁，生活污水经化粪池预处理后，通过市政污水管网进入蔡田铺污水处理厂处理达标后排入板桥河；依托华盛轻工（合肥）有限公司排水管网</w:t>
            </w:r>
          </w:p>
        </w:tc>
        <w:tc>
          <w:tcPr>
            <w:tcW w:w="1707" w:type="dxa"/>
            <w:vAlign w:val="center"/>
          </w:tcPr>
          <w:p>
            <w:pPr>
              <w:bidi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年排水量714m</w:t>
            </w:r>
            <w:r>
              <w:rPr>
                <w:rFonts w:hint="eastAsia" w:ascii="Times New Roman" w:hAnsi="Times New Roman" w:eastAsia="宋体" w:cs="Times New Roman"/>
                <w:color w:val="auto"/>
                <w:sz w:val="21"/>
                <w:szCs w:val="21"/>
                <w:highlight w:val="none"/>
                <w:vertAlign w:val="superscript"/>
                <w:lang w:val="en-US" w:eastAsia="zh-CN"/>
              </w:rPr>
              <w:t>3</w:t>
            </w:r>
          </w:p>
        </w:tc>
        <w:tc>
          <w:tcPr>
            <w:tcW w:w="1932" w:type="dxa"/>
            <w:vAlign w:val="center"/>
          </w:tcPr>
          <w:p>
            <w:pPr>
              <w:bidi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实际年排水量702m</w:t>
            </w:r>
            <w:r>
              <w:rPr>
                <w:rFonts w:hint="eastAsia"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供电</w:t>
            </w:r>
          </w:p>
        </w:tc>
        <w:tc>
          <w:tcPr>
            <w:tcW w:w="3151" w:type="dxa"/>
            <w:gridSpan w:val="2"/>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由长丰县市政供电，依托华盛轻工（合肥）有限公司现有供电设施；</w:t>
            </w:r>
            <w:r>
              <w:rPr>
                <w:rFonts w:hint="eastAsia" w:ascii="Times New Roman" w:hAnsi="Times New Roman" w:eastAsia="宋体" w:cs="Times New Roman"/>
                <w:sz w:val="21"/>
                <w:szCs w:val="21"/>
                <w:lang w:val="en-US" w:eastAsia="zh-CN"/>
              </w:rPr>
              <w:t>于西北角设一个变配电房，设1个250KV变压器</w:t>
            </w:r>
          </w:p>
        </w:tc>
        <w:tc>
          <w:tcPr>
            <w:tcW w:w="1707"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建筑面积为</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2</w:t>
            </w:r>
          </w:p>
        </w:tc>
        <w:tc>
          <w:tcPr>
            <w:tcW w:w="193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restart"/>
            <w:vAlign w:val="center"/>
          </w:tcPr>
          <w:p>
            <w:pPr>
              <w:bidi w:val="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环保工程</w:t>
            </w: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废水治理</w:t>
            </w:r>
          </w:p>
        </w:tc>
        <w:tc>
          <w:tcPr>
            <w:tcW w:w="3151" w:type="dxa"/>
            <w:gridSpan w:val="2"/>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化粪池、沉淀池、砂石分离机</w:t>
            </w:r>
          </w:p>
        </w:tc>
        <w:tc>
          <w:tcPr>
            <w:tcW w:w="1707" w:type="dxa"/>
            <w:vAlign w:val="center"/>
          </w:tcPr>
          <w:p>
            <w:pPr>
              <w:bidi w:val="0"/>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sz w:val="21"/>
                <w:szCs w:val="21"/>
                <w:lang w:val="en-US" w:eastAsia="zh-CN"/>
              </w:rPr>
              <w:t>1个8m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沉淀池</w:t>
            </w:r>
          </w:p>
        </w:tc>
        <w:tc>
          <w:tcPr>
            <w:tcW w:w="1932"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eastAsia="zh-CN"/>
              </w:rPr>
              <w:t>厂区设</w:t>
            </w:r>
            <w:r>
              <w:rPr>
                <w:rFonts w:hint="eastAsia" w:ascii="Times New Roman" w:hAnsi="Times New Roman" w:eastAsia="宋体" w:cs="Times New Roman"/>
                <w:sz w:val="21"/>
                <w:szCs w:val="21"/>
                <w:lang w:val="en-US" w:eastAsia="zh-CN"/>
              </w:rPr>
              <w:t>1个砂石分离机、三级沉淀</w:t>
            </w:r>
            <w:r>
              <w:rPr>
                <w:rFonts w:hint="eastAsia" w:ascii="Times New Roman" w:hAnsi="Times New Roman" w:eastAsia="宋体" w:cs="Times New Roman"/>
                <w:color w:val="auto"/>
                <w:sz w:val="21"/>
                <w:szCs w:val="21"/>
                <w:lang w:val="en-US" w:eastAsia="zh-CN"/>
              </w:rPr>
              <w:t>（三个沉淀池总容积60m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）、1个保洁废水沉淀池（容积16m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sz w:val="21"/>
                <w:szCs w:val="21"/>
                <w:lang w:val="en-US" w:eastAsia="zh-CN"/>
              </w:rPr>
              <w:t>和化粪池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Merge w:val="restart"/>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废气治理</w:t>
            </w:r>
          </w:p>
        </w:tc>
        <w:tc>
          <w:tcPr>
            <w:tcW w:w="1337"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auto"/>
                <w:sz w:val="21"/>
                <w:szCs w:val="21"/>
                <w:lang w:eastAsia="zh-CN"/>
              </w:rPr>
              <w:t>圆筒料仓上料粉尘</w:t>
            </w:r>
          </w:p>
        </w:tc>
        <w:tc>
          <w:tcPr>
            <w:tcW w:w="1814"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4个</w:t>
            </w:r>
            <w:r>
              <w:rPr>
                <w:rFonts w:hint="eastAsia" w:ascii="Times New Roman" w:hAnsi="Times New Roman" w:eastAsia="宋体" w:cs="Times New Roman"/>
                <w:sz w:val="21"/>
                <w:szCs w:val="21"/>
                <w:lang w:eastAsia="zh-CN"/>
              </w:rPr>
              <w:t>圆筒料</w:t>
            </w:r>
            <w:r>
              <w:rPr>
                <w:rFonts w:hint="eastAsia" w:ascii="Times New Roman" w:hAnsi="Times New Roman" w:eastAsia="宋体" w:cs="Times New Roman"/>
                <w:sz w:val="21"/>
                <w:szCs w:val="21"/>
                <w:highlight w:val="none"/>
                <w:lang w:eastAsia="zh-CN"/>
              </w:rPr>
              <w:t>仓仓</w:t>
            </w:r>
            <w:r>
              <w:rPr>
                <w:rFonts w:hint="eastAsia" w:ascii="Times New Roman" w:hAnsi="Times New Roman" w:eastAsia="宋体" w:cs="Times New Roman"/>
                <w:sz w:val="21"/>
                <w:szCs w:val="21"/>
                <w:lang w:eastAsia="zh-CN"/>
              </w:rPr>
              <w:t>顶均安装除尘器，</w:t>
            </w:r>
            <w:r>
              <w:rPr>
                <w:rFonts w:hint="eastAsia" w:ascii="Times New Roman" w:hAnsi="Times New Roman" w:eastAsia="宋体" w:cs="Times New Roman"/>
                <w:color w:val="auto"/>
                <w:sz w:val="21"/>
                <w:szCs w:val="21"/>
                <w:lang w:eastAsia="zh-CN"/>
              </w:rPr>
              <w:t>上料粉尘</w:t>
            </w:r>
            <w:r>
              <w:rPr>
                <w:rFonts w:hint="eastAsia" w:ascii="Times New Roman" w:hAnsi="Times New Roman" w:eastAsia="宋体" w:cs="Times New Roman"/>
                <w:sz w:val="21"/>
                <w:szCs w:val="21"/>
                <w:lang w:eastAsia="zh-CN"/>
              </w:rPr>
              <w:t>经圆筒料</w:t>
            </w:r>
            <w:r>
              <w:rPr>
                <w:rFonts w:hint="eastAsia" w:ascii="Times New Roman" w:hAnsi="Times New Roman" w:eastAsia="宋体" w:cs="Times New Roman"/>
                <w:sz w:val="21"/>
                <w:szCs w:val="21"/>
                <w:highlight w:val="none"/>
                <w:lang w:eastAsia="zh-CN"/>
              </w:rPr>
              <w:t>仓仓</w:t>
            </w:r>
            <w:r>
              <w:rPr>
                <w:rFonts w:hint="eastAsia" w:ascii="Times New Roman" w:hAnsi="Times New Roman" w:eastAsia="宋体" w:cs="Times New Roman"/>
                <w:sz w:val="21"/>
                <w:szCs w:val="21"/>
                <w:lang w:eastAsia="zh-CN"/>
              </w:rPr>
              <w:t>顶除尘器处理后由仓顶外排，排气筒高度约为</w:t>
            </w:r>
            <w:r>
              <w:rPr>
                <w:rFonts w:hint="eastAsia" w:ascii="Times New Roman" w:hAnsi="Times New Roman" w:eastAsia="宋体" w:cs="Times New Roman"/>
                <w:sz w:val="21"/>
                <w:szCs w:val="21"/>
                <w:lang w:val="en-US" w:eastAsia="zh-CN"/>
              </w:rPr>
              <w:t>21m</w:t>
            </w:r>
          </w:p>
        </w:tc>
        <w:tc>
          <w:tcPr>
            <w:tcW w:w="1707"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处理效率为</w:t>
            </w:r>
            <w:r>
              <w:rPr>
                <w:rFonts w:hint="eastAsia" w:ascii="Times New Roman" w:hAnsi="Times New Roman" w:eastAsia="宋体" w:cs="Times New Roman"/>
                <w:color w:val="auto"/>
                <w:sz w:val="21"/>
                <w:szCs w:val="21"/>
                <w:lang w:val="en-US" w:eastAsia="zh-CN"/>
              </w:rPr>
              <w:t>90%</w:t>
            </w:r>
          </w:p>
        </w:tc>
        <w:tc>
          <w:tcPr>
            <w:tcW w:w="193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于</w:t>
            </w:r>
            <w:r>
              <w:rPr>
                <w:rFonts w:hint="default"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4#圆筒料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w:t>
            </w:r>
            <w:r>
              <w:rPr>
                <w:rFonts w:hint="eastAsia" w:ascii="Times New Roman" w:hAnsi="Times New Roman" w:eastAsia="宋体" w:cs="Times New Roman"/>
                <w:sz w:val="21"/>
                <w:szCs w:val="21"/>
                <w:lang w:val="en-US" w:eastAsia="zh-CN"/>
              </w:rPr>
              <w:t>各设一台</w:t>
            </w:r>
            <w:r>
              <w:rPr>
                <w:rFonts w:hint="default" w:ascii="Times New Roman" w:hAnsi="Times New Roman" w:eastAsia="宋体" w:cs="Times New Roman"/>
                <w:sz w:val="21"/>
                <w:szCs w:val="21"/>
                <w:lang w:val="en-US" w:eastAsia="zh-CN"/>
              </w:rPr>
              <w:t>脉冲袋式除尘器</w:t>
            </w:r>
            <w:r>
              <w:rPr>
                <w:rFonts w:hint="eastAsia" w:ascii="Times New Roman" w:hAnsi="Times New Roman" w:eastAsia="宋体" w:cs="Times New Roman"/>
                <w:sz w:val="21"/>
                <w:szCs w:val="21"/>
                <w:lang w:val="en-US" w:eastAsia="zh-CN"/>
              </w:rPr>
              <w:t>；</w:t>
            </w: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顶粉尘</w:t>
            </w:r>
            <w:r>
              <w:rPr>
                <w:rFonts w:hint="eastAsia" w:ascii="Times New Roman" w:hAnsi="Times New Roman" w:eastAsia="宋体" w:cs="Times New Roman"/>
                <w:sz w:val="21"/>
                <w:szCs w:val="21"/>
                <w:lang w:val="en-US" w:eastAsia="zh-CN"/>
              </w:rPr>
              <w:t>由管道收集经3#</w:t>
            </w:r>
            <w:r>
              <w:rPr>
                <w:rFonts w:hint="default" w:ascii="Times New Roman" w:hAnsi="Times New Roman" w:eastAsia="宋体" w:cs="Times New Roman"/>
                <w:sz w:val="21"/>
                <w:szCs w:val="21"/>
                <w:lang w:val="en-US" w:eastAsia="zh-CN"/>
              </w:rPr>
              <w:t>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w:t>
            </w:r>
            <w:r>
              <w:rPr>
                <w:rFonts w:hint="eastAsia" w:ascii="Times New Roman" w:hAnsi="Times New Roman" w:eastAsia="宋体" w:cs="Times New Roman"/>
                <w:sz w:val="21"/>
                <w:szCs w:val="21"/>
                <w:lang w:val="en-US" w:eastAsia="zh-CN"/>
              </w:rPr>
              <w:t>脉冲袋式除尘器处理后由1#排气筒排放；</w:t>
            </w: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4#圆筒料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顶粉尘</w:t>
            </w:r>
            <w:r>
              <w:rPr>
                <w:rFonts w:hint="eastAsia" w:ascii="Times New Roman" w:hAnsi="Times New Roman" w:eastAsia="宋体" w:cs="Times New Roman"/>
                <w:sz w:val="21"/>
                <w:szCs w:val="21"/>
                <w:lang w:val="en-US" w:eastAsia="zh-CN"/>
              </w:rPr>
              <w:t>由管道收集经4#</w:t>
            </w:r>
            <w:r>
              <w:rPr>
                <w:rFonts w:hint="default" w:ascii="Times New Roman" w:hAnsi="Times New Roman" w:eastAsia="宋体" w:cs="Times New Roman"/>
                <w:sz w:val="21"/>
                <w:szCs w:val="21"/>
                <w:lang w:val="en-US" w:eastAsia="zh-CN"/>
              </w:rPr>
              <w:t>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w:t>
            </w:r>
            <w:r>
              <w:rPr>
                <w:rFonts w:hint="eastAsia" w:ascii="Times New Roman" w:hAnsi="Times New Roman" w:eastAsia="宋体" w:cs="Times New Roman"/>
                <w:sz w:val="21"/>
                <w:szCs w:val="21"/>
                <w:lang w:val="en-US" w:eastAsia="zh-CN"/>
              </w:rPr>
              <w:t>脉冲袋式除尘器处理后由2#排气筒排放；</w:t>
            </w:r>
            <w:r>
              <w:rPr>
                <w:rFonts w:hint="eastAsia" w:ascii="Times New Roman" w:hAnsi="Times New Roman" w:eastAsia="宋体" w:cs="Times New Roman"/>
                <w:sz w:val="21"/>
                <w:szCs w:val="21"/>
                <w:lang w:eastAsia="zh-CN"/>
              </w:rPr>
              <w:t>排气筒高度约为</w:t>
            </w:r>
            <w:r>
              <w:rPr>
                <w:rFonts w:hint="eastAsia" w:ascii="Times New Roman" w:hAnsi="Times New Roman" w:eastAsia="宋体" w:cs="Times New Roman"/>
                <w:sz w:val="21"/>
                <w:szCs w:val="21"/>
                <w:lang w:val="en-US" w:eastAsia="zh-CN"/>
              </w:rPr>
              <w:t>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Merge w:val="continue"/>
            <w:vAlign w:val="center"/>
          </w:tcPr>
          <w:p>
            <w:pPr>
              <w:bidi w:val="0"/>
              <w:jc w:val="center"/>
              <w:rPr>
                <w:rFonts w:hint="eastAsia" w:ascii="Times New Roman" w:hAnsi="Times New Roman" w:eastAsia="宋体" w:cs="Times New Roman"/>
                <w:sz w:val="21"/>
                <w:szCs w:val="21"/>
                <w:lang w:eastAsia="zh-CN"/>
              </w:rPr>
            </w:pPr>
          </w:p>
        </w:tc>
        <w:tc>
          <w:tcPr>
            <w:tcW w:w="1337"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下料粉尘</w:t>
            </w:r>
          </w:p>
        </w:tc>
        <w:tc>
          <w:tcPr>
            <w:tcW w:w="1814"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搅拌主楼封闭、</w:t>
            </w:r>
            <w:r>
              <w:rPr>
                <w:rFonts w:hint="eastAsia" w:ascii="Times New Roman" w:hAnsi="Times New Roman" w:eastAsia="宋体" w:cs="Times New Roman"/>
                <w:sz w:val="21"/>
                <w:szCs w:val="21"/>
                <w:lang w:eastAsia="zh-CN"/>
              </w:rPr>
              <w:t>皮带运输机全封闭</w:t>
            </w:r>
          </w:p>
        </w:tc>
        <w:tc>
          <w:tcPr>
            <w:tcW w:w="1707"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3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搅拌主楼和</w:t>
            </w:r>
            <w:r>
              <w:rPr>
                <w:rFonts w:hint="eastAsia" w:ascii="Times New Roman" w:hAnsi="Times New Roman" w:eastAsia="宋体" w:cs="Times New Roman"/>
                <w:sz w:val="21"/>
                <w:szCs w:val="21"/>
                <w:lang w:eastAsia="zh-CN"/>
              </w:rPr>
              <w:t>皮带运输机</w:t>
            </w:r>
            <w:r>
              <w:rPr>
                <w:rFonts w:hint="eastAsia" w:ascii="Times New Roman" w:hAnsi="Times New Roman" w:eastAsia="宋体" w:cs="Times New Roman"/>
                <w:sz w:val="21"/>
                <w:szCs w:val="21"/>
                <w:lang w:val="en-US" w:eastAsia="zh-CN"/>
              </w:rPr>
              <w:t>封闭处理；同时搅拌主楼下料口设</w:t>
            </w:r>
            <w:r>
              <w:rPr>
                <w:rFonts w:hint="default" w:ascii="Times New Roman" w:hAnsi="Times New Roman" w:eastAsia="宋体" w:cs="Times New Roman"/>
                <w:sz w:val="21"/>
                <w:szCs w:val="21"/>
                <w:lang w:val="en-US" w:eastAsia="zh-CN"/>
              </w:rPr>
              <w:t>脉冲</w:t>
            </w:r>
            <w:r>
              <w:rPr>
                <w:rFonts w:hint="eastAsia" w:ascii="Times New Roman" w:hAnsi="Times New Roman" w:eastAsia="宋体" w:cs="Times New Roman"/>
                <w:sz w:val="21"/>
                <w:szCs w:val="21"/>
                <w:lang w:val="en-US" w:eastAsia="zh-CN"/>
              </w:rPr>
              <w:t>袋式</w:t>
            </w:r>
            <w:r>
              <w:rPr>
                <w:rFonts w:hint="default" w:ascii="Times New Roman" w:hAnsi="Times New Roman" w:eastAsia="宋体" w:cs="Times New Roman"/>
                <w:sz w:val="21"/>
                <w:szCs w:val="21"/>
                <w:lang w:val="en-US" w:eastAsia="zh-CN"/>
              </w:rPr>
              <w:t>除尘器</w:t>
            </w:r>
            <w:r>
              <w:rPr>
                <w:rFonts w:hint="eastAsia" w:ascii="Times New Roman" w:hAnsi="Times New Roman" w:eastAsia="宋体" w:cs="Times New Roman"/>
                <w:sz w:val="21"/>
                <w:szCs w:val="21"/>
                <w:lang w:val="en-US" w:eastAsia="zh-CN"/>
              </w:rPr>
              <w:t>、下料区下料口设喷淋器定期喷淋降尘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Merge w:val="continue"/>
            <w:vAlign w:val="center"/>
          </w:tcPr>
          <w:p>
            <w:pPr>
              <w:bidi w:val="0"/>
              <w:jc w:val="center"/>
              <w:rPr>
                <w:rFonts w:hint="eastAsia" w:ascii="Times New Roman" w:hAnsi="Times New Roman" w:eastAsia="宋体" w:cs="Times New Roman"/>
                <w:sz w:val="21"/>
                <w:szCs w:val="21"/>
                <w:lang w:eastAsia="zh-CN"/>
              </w:rPr>
            </w:pPr>
          </w:p>
        </w:tc>
        <w:tc>
          <w:tcPr>
            <w:tcW w:w="1337"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料场堆放粉尘</w:t>
            </w:r>
          </w:p>
        </w:tc>
        <w:tc>
          <w:tcPr>
            <w:tcW w:w="1814"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料场设置封闭顶盖</w:t>
            </w:r>
          </w:p>
        </w:tc>
        <w:tc>
          <w:tcPr>
            <w:tcW w:w="1707"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3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料场设置封闭顶盖、料场出入口设</w:t>
            </w:r>
            <w:r>
              <w:rPr>
                <w:rFonts w:hint="eastAsia" w:ascii="Times New Roman" w:hAnsi="Times New Roman" w:eastAsia="宋体" w:cs="Times New Roman"/>
                <w:sz w:val="21"/>
                <w:szCs w:val="21"/>
                <w:lang w:val="en-US" w:eastAsia="zh-CN"/>
              </w:rPr>
              <w:t>设喷淋器定期喷淋降尘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噪声治理</w:t>
            </w:r>
          </w:p>
        </w:tc>
        <w:tc>
          <w:tcPr>
            <w:tcW w:w="4858" w:type="dxa"/>
            <w:gridSpan w:val="3"/>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eastAsia="zh-CN"/>
              </w:rPr>
              <w:t>优先选用低噪设备，设置减振基座，厂房隔声</w:t>
            </w:r>
          </w:p>
        </w:tc>
        <w:tc>
          <w:tcPr>
            <w:tcW w:w="193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auto"/>
                <w:sz w:val="21"/>
                <w:szCs w:val="21"/>
                <w:lang w:val="en-US" w:eastAsia="zh-CN"/>
              </w:rPr>
              <w:t>和环评内容一致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7" w:type="dxa"/>
            <w:vMerge w:val="continue"/>
            <w:vAlign w:val="center"/>
          </w:tcPr>
          <w:p>
            <w:pPr>
              <w:bidi w:val="0"/>
              <w:jc w:val="center"/>
              <w:rPr>
                <w:rFonts w:hint="default" w:ascii="Times New Roman" w:hAnsi="Times New Roman" w:eastAsia="宋体" w:cs="Times New Roman"/>
                <w:b/>
                <w:bCs/>
                <w:sz w:val="21"/>
                <w:szCs w:val="21"/>
              </w:rPr>
            </w:pPr>
          </w:p>
        </w:tc>
        <w:tc>
          <w:tcPr>
            <w:tcW w:w="107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固废处置</w:t>
            </w:r>
          </w:p>
        </w:tc>
        <w:tc>
          <w:tcPr>
            <w:tcW w:w="4858" w:type="dxa"/>
            <w:gridSpan w:val="3"/>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生活垃圾实行袋装化，分类收集，交由市政环卫部门处理</w:t>
            </w:r>
          </w:p>
        </w:tc>
        <w:tc>
          <w:tcPr>
            <w:tcW w:w="1932"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和环评内容一致</w:t>
            </w:r>
          </w:p>
        </w:tc>
      </w:tr>
    </w:tbl>
    <w:p>
      <w:pPr>
        <w:pStyle w:val="16"/>
        <w:bidi w:val="0"/>
        <w:rPr>
          <w:rFonts w:hint="eastAsia"/>
          <w:sz w:val="24"/>
          <w:szCs w:val="24"/>
          <w:lang w:val="en-US" w:eastAsia="zh-CN"/>
        </w:rPr>
      </w:pPr>
      <w:bookmarkStart w:id="9" w:name="_Toc23612"/>
      <w:r>
        <w:rPr>
          <w:rFonts w:hint="eastAsia"/>
          <w:sz w:val="24"/>
          <w:szCs w:val="24"/>
          <w:lang w:val="en-US" w:eastAsia="zh-CN"/>
        </w:rPr>
        <w:t>3.3 主要原辅材料消耗</w:t>
      </w:r>
      <w:bookmarkEnd w:id="9"/>
    </w:p>
    <w:p>
      <w:pPr>
        <w:pStyle w:val="9"/>
        <w:bidi w:val="0"/>
        <w:rPr>
          <w:rFonts w:hint="default"/>
          <w:highlight w:val="none"/>
          <w:lang w:val="en-US" w:eastAsia="zh-CN"/>
        </w:rPr>
      </w:pPr>
      <w:r>
        <w:rPr>
          <w:rFonts w:hint="eastAsia"/>
          <w:highlight w:val="none"/>
          <w:lang w:val="en-US" w:eastAsia="zh-CN"/>
        </w:rPr>
        <w:t>本项目实际原辅材料消耗情况与环评对照情况见下表3.3-1：</w:t>
      </w:r>
    </w:p>
    <w:p>
      <w:pPr>
        <w:pStyle w:val="13"/>
        <w:bidi w:val="0"/>
        <w:rPr>
          <w:rFonts w:hint="eastAsia"/>
          <w:lang w:val="en-US" w:eastAsia="zh-CN"/>
        </w:rPr>
      </w:pPr>
      <w:r>
        <w:rPr>
          <w:rFonts w:hint="eastAsia"/>
          <w:lang w:val="en-US" w:eastAsia="zh-CN"/>
        </w:rPr>
        <w:t>表3.3-1    项目主要原辅材料消耗一览表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1400"/>
        <w:gridCol w:w="1400"/>
        <w:gridCol w:w="1406"/>
        <w:gridCol w:w="1082"/>
        <w:gridCol w:w="1375"/>
        <w:gridCol w:w="11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tcBorders>
              <w:top w:val="single" w:color="auto" w:sz="4" w:space="0"/>
              <w:left w:val="single" w:color="auto" w:sz="4" w:space="0"/>
              <w:right w:val="single" w:color="auto" w:sz="4"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400" w:type="dxa"/>
            <w:tcBorders>
              <w:top w:val="single" w:color="auto" w:sz="4" w:space="0"/>
              <w:left w:val="single" w:color="auto" w:sz="4" w:space="0"/>
              <w:right w:val="single" w:color="auto" w:sz="4"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w:t>
            </w:r>
            <w:r>
              <w:rPr>
                <w:rFonts w:hint="eastAsia" w:ascii="Times New Roman" w:hAnsi="Times New Roman" w:eastAsia="宋体" w:cs="Times New Roman"/>
                <w:b/>
                <w:bCs/>
                <w:sz w:val="21"/>
                <w:szCs w:val="21"/>
                <w:lang w:val="en-US" w:eastAsia="zh-CN"/>
              </w:rPr>
              <w:t>设计</w:t>
            </w:r>
            <w:r>
              <w:rPr>
                <w:rFonts w:hint="default" w:ascii="Times New Roman" w:hAnsi="Times New Roman" w:eastAsia="宋体" w:cs="Times New Roman"/>
                <w:b/>
                <w:bCs/>
                <w:sz w:val="21"/>
                <w:szCs w:val="21"/>
                <w:lang w:val="en-US" w:eastAsia="zh-CN"/>
              </w:rPr>
              <w:t>年用量</w:t>
            </w:r>
            <w:r>
              <w:rPr>
                <w:rFonts w:hint="eastAsia" w:ascii="Times New Roman" w:hAnsi="Times New Roman" w:eastAsia="宋体" w:cs="Times New Roman"/>
                <w:b/>
                <w:bCs/>
                <w:sz w:val="21"/>
                <w:szCs w:val="21"/>
                <w:lang w:val="en-US" w:eastAsia="zh-CN"/>
              </w:rPr>
              <w:t>（吨）</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实际工程年用量</w:t>
            </w:r>
            <w:r>
              <w:rPr>
                <w:rFonts w:hint="eastAsia" w:ascii="Times New Roman" w:hAnsi="Times New Roman" w:eastAsia="宋体" w:cs="Times New Roman"/>
                <w:b/>
                <w:bCs/>
                <w:sz w:val="21"/>
                <w:szCs w:val="21"/>
                <w:lang w:val="en-US" w:eastAsia="zh-CN"/>
              </w:rPr>
              <w:t>（吨）</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储存周期</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最大储存量</w:t>
            </w:r>
            <w:r>
              <w:rPr>
                <w:rFonts w:hint="eastAsia" w:ascii="Times New Roman" w:hAnsi="Times New Roman" w:eastAsia="宋体" w:cs="Times New Roman"/>
                <w:b/>
                <w:bCs/>
                <w:sz w:val="21"/>
                <w:szCs w:val="21"/>
                <w:lang w:val="en-US" w:eastAsia="zh-CN"/>
              </w:rPr>
              <w:t>（吨）</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储存</w:t>
            </w:r>
          </w:p>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restart"/>
            <w:tcBorders>
              <w:top w:val="single" w:color="auto" w:sz="4" w:space="0"/>
              <w:left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原辅材料</w:t>
            </w:r>
          </w:p>
        </w:tc>
        <w:tc>
          <w:tcPr>
            <w:tcW w:w="1400" w:type="dxa"/>
            <w:tcBorders>
              <w:top w:val="single" w:color="auto" w:sz="4" w:space="0"/>
              <w:left w:val="single" w:color="auto" w:sz="4" w:space="0"/>
              <w:right w:val="single" w:color="auto" w:sz="4" w:space="0"/>
            </w:tcBorders>
            <w:vAlign w:val="center"/>
          </w:tcPr>
          <w:p>
            <w:pPr>
              <w:bidi w:val="0"/>
              <w:jc w:val="center"/>
              <w:rPr>
                <w:rFonts w:hint="eastAsia" w:ascii="Times New Roman" w:hAnsi="Times New Roman" w:eastAsia="宋体" w:cs="Times New Roman"/>
                <w:b w:val="0"/>
                <w:bCs w:val="0"/>
                <w:sz w:val="21"/>
                <w:szCs w:val="21"/>
                <w:highlight w:val="none"/>
                <w:lang w:eastAsia="zh-CN"/>
              </w:rPr>
            </w:pPr>
            <w:r>
              <w:rPr>
                <w:rFonts w:hint="eastAsia" w:ascii="Times New Roman" w:hAnsi="Times New Roman" w:eastAsia="宋体" w:cs="Times New Roman"/>
                <w:b w:val="0"/>
                <w:bCs w:val="0"/>
                <w:sz w:val="21"/>
                <w:szCs w:val="21"/>
                <w:highlight w:val="none"/>
                <w:lang w:eastAsia="zh-CN"/>
              </w:rPr>
              <w:t>黄沙</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30.6×10</w:t>
            </w:r>
            <w:r>
              <w:rPr>
                <w:rFonts w:hint="eastAsia" w:ascii="Times New Roman" w:hAnsi="Times New Roman" w:eastAsia="宋体" w:cs="Times New Roman"/>
                <w:b w:val="0"/>
                <w:bCs w:val="0"/>
                <w:sz w:val="21"/>
                <w:szCs w:val="21"/>
                <w:vertAlign w:val="superscript"/>
                <w:lang w:val="en-US" w:eastAsia="zh-CN"/>
              </w:rPr>
              <w:t>4</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30.6×10</w:t>
            </w:r>
            <w:r>
              <w:rPr>
                <w:rFonts w:hint="eastAsia" w:ascii="Times New Roman" w:hAnsi="Times New Roman" w:eastAsia="宋体" w:cs="Times New Roman"/>
                <w:b w:val="0"/>
                <w:bCs w:val="0"/>
                <w:sz w:val="21"/>
                <w:szCs w:val="21"/>
                <w:vertAlign w:val="superscript"/>
                <w:lang w:val="en-US" w:eastAsia="zh-CN"/>
              </w:rPr>
              <w:t>4</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2天</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2000</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料场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continue"/>
            <w:tcBorders>
              <w:left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rPr>
            </w:pPr>
          </w:p>
        </w:tc>
        <w:tc>
          <w:tcPr>
            <w:tcW w:w="1400" w:type="dxa"/>
            <w:tcBorders>
              <w:top w:val="single" w:color="auto" w:sz="4" w:space="0"/>
              <w:left w:val="single" w:color="auto" w:sz="4" w:space="0"/>
              <w:right w:val="single" w:color="auto" w:sz="4" w:space="0"/>
            </w:tcBorders>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石子</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39.6×10</w:t>
            </w:r>
            <w:r>
              <w:rPr>
                <w:rFonts w:hint="eastAsia" w:ascii="Times New Roman" w:hAnsi="Times New Roman" w:eastAsia="宋体" w:cs="Times New Roman"/>
                <w:b w:val="0"/>
                <w:bCs w:val="0"/>
                <w:sz w:val="21"/>
                <w:szCs w:val="21"/>
                <w:vertAlign w:val="superscript"/>
                <w:lang w:val="en-US" w:eastAsia="zh-CN"/>
              </w:rPr>
              <w:t>4</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39.6×10</w:t>
            </w:r>
            <w:r>
              <w:rPr>
                <w:rFonts w:hint="eastAsia" w:ascii="Times New Roman" w:hAnsi="Times New Roman" w:eastAsia="宋体" w:cs="Times New Roman"/>
                <w:b w:val="0"/>
                <w:bCs w:val="0"/>
                <w:sz w:val="21"/>
                <w:szCs w:val="21"/>
                <w:vertAlign w:val="superscript"/>
                <w:lang w:val="en-US" w:eastAsia="zh-CN"/>
              </w:rPr>
              <w:t>4</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1天</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1500</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料场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continue"/>
            <w:tcBorders>
              <w:left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rPr>
            </w:pPr>
          </w:p>
        </w:tc>
        <w:tc>
          <w:tcPr>
            <w:tcW w:w="1400" w:type="dxa"/>
            <w:tcBorders>
              <w:top w:val="single" w:color="auto" w:sz="4" w:space="0"/>
              <w:left w:val="single" w:color="auto" w:sz="4" w:space="0"/>
              <w:right w:val="single" w:color="auto" w:sz="4" w:space="0"/>
            </w:tcBorders>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水泥</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8.4×10</w:t>
            </w:r>
            <w:r>
              <w:rPr>
                <w:rFonts w:hint="eastAsia" w:ascii="Times New Roman" w:hAnsi="Times New Roman" w:eastAsia="宋体" w:cs="Times New Roman"/>
                <w:b w:val="0"/>
                <w:bCs w:val="0"/>
                <w:sz w:val="21"/>
                <w:szCs w:val="21"/>
                <w:vertAlign w:val="superscript"/>
                <w:lang w:val="en-US" w:eastAsia="zh-CN"/>
              </w:rPr>
              <w:t>4</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8.4×10</w:t>
            </w:r>
            <w:r>
              <w:rPr>
                <w:rFonts w:hint="eastAsia" w:ascii="Times New Roman" w:hAnsi="Times New Roman" w:eastAsia="宋体" w:cs="Times New Roman"/>
                <w:b w:val="0"/>
                <w:bCs w:val="0"/>
                <w:sz w:val="21"/>
                <w:szCs w:val="21"/>
                <w:vertAlign w:val="superscript"/>
                <w:lang w:val="en-US" w:eastAsia="zh-CN"/>
              </w:rPr>
              <w:t>4</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1天</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圆筒料仓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continue"/>
            <w:tcBorders>
              <w:left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rPr>
            </w:pPr>
          </w:p>
        </w:tc>
        <w:tc>
          <w:tcPr>
            <w:tcW w:w="1400" w:type="dxa"/>
            <w:tcBorders>
              <w:top w:val="single" w:color="auto" w:sz="4" w:space="0"/>
              <w:left w:val="single" w:color="auto" w:sz="4" w:space="0"/>
              <w:right w:val="single" w:color="auto" w:sz="4" w:space="0"/>
            </w:tcBorders>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粉煤灰</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2.34×10</w:t>
            </w:r>
            <w:r>
              <w:rPr>
                <w:rFonts w:hint="eastAsia" w:ascii="Times New Roman" w:hAnsi="Times New Roman" w:eastAsia="宋体" w:cs="Times New Roman"/>
                <w:b w:val="0"/>
                <w:bCs w:val="0"/>
                <w:sz w:val="21"/>
                <w:szCs w:val="21"/>
                <w:vertAlign w:val="superscript"/>
                <w:lang w:val="en-US" w:eastAsia="zh-CN"/>
              </w:rPr>
              <w:t>4</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2.34×10</w:t>
            </w:r>
            <w:r>
              <w:rPr>
                <w:rFonts w:hint="eastAsia" w:ascii="Times New Roman" w:hAnsi="Times New Roman" w:eastAsia="宋体" w:cs="Times New Roman"/>
                <w:b w:val="0"/>
                <w:bCs w:val="0"/>
                <w:sz w:val="21"/>
                <w:szCs w:val="21"/>
                <w:vertAlign w:val="superscript"/>
                <w:lang w:val="en-US" w:eastAsia="zh-CN"/>
              </w:rPr>
              <w:t>4</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2天</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200</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圆筒料仓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continue"/>
            <w:tcBorders>
              <w:left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rPr>
            </w:pPr>
          </w:p>
        </w:tc>
        <w:tc>
          <w:tcPr>
            <w:tcW w:w="1400" w:type="dxa"/>
            <w:tcBorders>
              <w:top w:val="single" w:color="auto" w:sz="4" w:space="0"/>
              <w:left w:val="single" w:color="auto" w:sz="4" w:space="0"/>
              <w:right w:val="single" w:color="auto" w:sz="4" w:space="0"/>
            </w:tcBorders>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矿渣粉</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1.0×10</w:t>
            </w:r>
            <w:r>
              <w:rPr>
                <w:rFonts w:hint="eastAsia" w:ascii="Times New Roman" w:hAnsi="Times New Roman" w:eastAsia="宋体" w:cs="Times New Roman"/>
                <w:b w:val="0"/>
                <w:bCs w:val="0"/>
                <w:sz w:val="21"/>
                <w:szCs w:val="21"/>
                <w:vertAlign w:val="superscript"/>
                <w:lang w:val="en-US" w:eastAsia="zh-CN"/>
              </w:rPr>
              <w:t>4</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1.0×10</w:t>
            </w:r>
            <w:r>
              <w:rPr>
                <w:rFonts w:hint="eastAsia" w:ascii="Times New Roman" w:hAnsi="Times New Roman" w:eastAsia="宋体" w:cs="Times New Roman"/>
                <w:b w:val="0"/>
                <w:bCs w:val="0"/>
                <w:sz w:val="21"/>
                <w:szCs w:val="21"/>
                <w:vertAlign w:val="superscript"/>
                <w:lang w:val="en-US" w:eastAsia="zh-CN"/>
              </w:rPr>
              <w:t>4</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3天</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100</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圆筒料仓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continue"/>
            <w:tcBorders>
              <w:left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rPr>
            </w:pPr>
          </w:p>
        </w:tc>
        <w:tc>
          <w:tcPr>
            <w:tcW w:w="1400" w:type="dxa"/>
            <w:tcBorders>
              <w:top w:val="single" w:color="auto" w:sz="4" w:space="0"/>
              <w:left w:val="single" w:color="auto" w:sz="4" w:space="0"/>
              <w:right w:val="single" w:color="auto" w:sz="4" w:space="0"/>
            </w:tcBorders>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外加剂</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1800</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1800</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10天</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70</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料场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restart"/>
            <w:tcBorders>
              <w:top w:val="single" w:color="auto" w:sz="4" w:space="0"/>
              <w:left w:val="single" w:color="auto" w:sz="4" w:space="0"/>
              <w:right w:val="single" w:color="auto" w:sz="4" w:space="0"/>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能耗</w:t>
            </w: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1400" w:type="dxa"/>
            <w:tcBorders>
              <w:top w:val="single" w:color="auto" w:sz="4" w:space="0"/>
              <w:left w:val="single" w:color="auto" w:sz="4" w:space="0"/>
              <w:bottom w:val="single" w:color="auto" w:sz="4" w:space="0"/>
              <w:right w:val="single" w:color="auto" w:sz="6" w:space="0"/>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65640</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59976.8</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717" w:type="dxa"/>
            <w:vMerge w:val="continue"/>
            <w:tcBorders>
              <w:left w:val="single" w:color="auto" w:sz="4" w:space="0"/>
              <w:right w:val="single" w:color="auto" w:sz="4" w:space="0"/>
            </w:tcBorders>
            <w:vAlign w:val="center"/>
          </w:tcPr>
          <w:p>
            <w:pPr>
              <w:bidi w:val="0"/>
              <w:jc w:val="center"/>
              <w:rPr>
                <w:rFonts w:hint="default" w:ascii="Times New Roman" w:hAnsi="Times New Roman" w:eastAsia="宋体" w:cs="Times New Roman"/>
                <w:sz w:val="21"/>
                <w:szCs w:val="21"/>
              </w:rPr>
            </w:pPr>
          </w:p>
        </w:tc>
        <w:tc>
          <w:tcPr>
            <w:tcW w:w="1400"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400" w:type="dxa"/>
            <w:tcBorders>
              <w:top w:val="single" w:color="auto" w:sz="4" w:space="0"/>
              <w:left w:val="single" w:color="auto" w:sz="4" w:space="0"/>
              <w:bottom w:val="single" w:color="auto" w:sz="4" w:space="0"/>
              <w:right w:val="single" w:color="auto" w:sz="6" w:space="0"/>
            </w:tcBorders>
            <w:vAlign w:val="center"/>
          </w:tcPr>
          <w:p>
            <w:pPr>
              <w:bidi w:val="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w:t>
            </w:r>
          </w:p>
        </w:tc>
        <w:tc>
          <w:tcPr>
            <w:tcW w:w="1406"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万度/a</w:t>
            </w:r>
          </w:p>
        </w:tc>
        <w:tc>
          <w:tcPr>
            <w:tcW w:w="108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7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42"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9"/>
        <w:bidi w:val="0"/>
        <w:rPr>
          <w:rFonts w:hint="eastAsia"/>
          <w:lang w:val="en-US" w:eastAsia="zh-CN"/>
        </w:rPr>
      </w:pPr>
      <w:r>
        <w:rPr>
          <w:rFonts w:hint="eastAsia"/>
          <w:lang w:val="en-US" w:eastAsia="zh-CN"/>
        </w:rPr>
        <w:t>由上表可知，项目实际原辅料及消耗情况均与项目环评一致。</w:t>
      </w:r>
    </w:p>
    <w:p>
      <w:pPr>
        <w:pStyle w:val="16"/>
        <w:bidi w:val="0"/>
        <w:rPr>
          <w:rFonts w:hint="eastAsia"/>
          <w:sz w:val="24"/>
          <w:szCs w:val="22"/>
          <w:lang w:val="en-US" w:eastAsia="zh-CN"/>
        </w:rPr>
      </w:pPr>
      <w:bookmarkStart w:id="10" w:name="_Toc26930"/>
      <w:r>
        <w:rPr>
          <w:rFonts w:hint="eastAsia"/>
          <w:sz w:val="24"/>
          <w:szCs w:val="22"/>
          <w:lang w:val="en-US" w:eastAsia="zh-CN"/>
        </w:rPr>
        <w:t>3.4 设备清单</w:t>
      </w:r>
      <w:bookmarkEnd w:id="10"/>
    </w:p>
    <w:p>
      <w:pPr>
        <w:pStyle w:val="9"/>
        <w:bidi w:val="0"/>
        <w:rPr>
          <w:rFonts w:hint="eastAsia"/>
          <w:highlight w:val="none"/>
          <w:lang w:val="en-US" w:eastAsia="zh-CN"/>
        </w:rPr>
      </w:pPr>
      <w:r>
        <w:rPr>
          <w:rFonts w:hint="eastAsia"/>
          <w:highlight w:val="none"/>
          <w:lang w:val="en-US" w:eastAsia="zh-CN"/>
        </w:rPr>
        <w:t>本项目实际设备与环评对照情况见下表3.4-1：</w:t>
      </w: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r>
        <w:rPr>
          <w:rFonts w:hint="eastAsia"/>
          <w:lang w:val="en-US" w:eastAsia="zh-CN"/>
        </w:rPr>
        <w:t>表3.4-1    项目主要设备一览表</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992"/>
        <w:gridCol w:w="1837"/>
        <w:gridCol w:w="1900"/>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992"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环评中</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工程</w:t>
            </w:r>
            <w:r>
              <w:rPr>
                <w:rFonts w:hint="default" w:ascii="Times New Roman" w:hAnsi="Times New Roman" w:eastAsia="宋体" w:cs="Times New Roman"/>
                <w:b/>
                <w:bCs/>
                <w:sz w:val="21"/>
                <w:szCs w:val="21"/>
              </w:rPr>
              <w:t>设备名称</w:t>
            </w:r>
          </w:p>
        </w:tc>
        <w:tc>
          <w:tcPr>
            <w:tcW w:w="1837"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型号</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规格</w:t>
            </w:r>
          </w:p>
        </w:tc>
        <w:tc>
          <w:tcPr>
            <w:tcW w:w="1900"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环评中</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工程</w:t>
            </w:r>
            <w:r>
              <w:rPr>
                <w:rFonts w:hint="default" w:ascii="Times New Roman" w:hAnsi="Times New Roman" w:eastAsia="宋体" w:cs="Times New Roman"/>
                <w:b/>
                <w:bCs/>
                <w:sz w:val="21"/>
                <w:szCs w:val="21"/>
              </w:rPr>
              <w:t>设备</w:t>
            </w:r>
            <w:r>
              <w:rPr>
                <w:rFonts w:hint="default" w:ascii="Times New Roman" w:hAnsi="Times New Roman" w:eastAsia="宋体" w:cs="Times New Roman"/>
                <w:b/>
                <w:bCs/>
                <w:sz w:val="21"/>
                <w:szCs w:val="21"/>
                <w:lang w:eastAsia="zh-CN"/>
              </w:rPr>
              <w:t>数量</w:t>
            </w:r>
          </w:p>
        </w:tc>
        <w:tc>
          <w:tcPr>
            <w:tcW w:w="2041"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w:t>
            </w:r>
            <w:r>
              <w:rPr>
                <w:rFonts w:hint="default" w:ascii="Times New Roman" w:hAnsi="Times New Roman" w:eastAsia="宋体" w:cs="Times New Roman"/>
                <w:b/>
                <w:bCs/>
                <w:sz w:val="21"/>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8522" w:type="dxa"/>
            <w:gridSpan w:val="5"/>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9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搅拌机</w:t>
            </w:r>
          </w:p>
        </w:tc>
        <w:tc>
          <w:tcPr>
            <w:tcW w:w="1837"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3m</w:t>
            </w:r>
            <w:r>
              <w:rPr>
                <w:rFonts w:hint="eastAsia" w:ascii="Times New Roman" w:hAnsi="Times New Roman" w:eastAsia="宋体" w:cs="Times New Roman"/>
                <w:sz w:val="21"/>
                <w:szCs w:val="21"/>
                <w:vertAlign w:val="superscript"/>
                <w:lang w:val="en-US" w:eastAsia="zh-CN"/>
              </w:rPr>
              <w:t>3</w:t>
            </w: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1-12-150</w:t>
            </w:r>
          </w:p>
        </w:tc>
        <w:tc>
          <w:tcPr>
            <w:tcW w:w="19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1台</w:t>
            </w:r>
          </w:p>
        </w:tc>
        <w:tc>
          <w:tcPr>
            <w:tcW w:w="204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992"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混凝土运输车</w:t>
            </w:r>
          </w:p>
        </w:tc>
        <w:tc>
          <w:tcPr>
            <w:tcW w:w="1837"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8m</w:t>
            </w:r>
            <w:r>
              <w:rPr>
                <w:rFonts w:hint="eastAsia" w:ascii="Times New Roman" w:hAnsi="Times New Roman" w:eastAsia="宋体" w:cs="Times New Roman"/>
                <w:color w:val="auto"/>
                <w:sz w:val="21"/>
                <w:szCs w:val="21"/>
                <w:vertAlign w:val="superscript"/>
                <w:lang w:val="en-US" w:eastAsia="zh-CN"/>
              </w:rPr>
              <w:t>3</w:t>
            </w:r>
          </w:p>
        </w:tc>
        <w:tc>
          <w:tcPr>
            <w:tcW w:w="1900"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10台</w:t>
            </w:r>
          </w:p>
        </w:tc>
        <w:tc>
          <w:tcPr>
            <w:tcW w:w="2041"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99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装载机</w:t>
            </w:r>
          </w:p>
        </w:tc>
        <w:tc>
          <w:tcPr>
            <w:tcW w:w="183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HL50E-WS</w:t>
            </w:r>
          </w:p>
        </w:tc>
        <w:tc>
          <w:tcPr>
            <w:tcW w:w="19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1台</w:t>
            </w:r>
          </w:p>
        </w:tc>
        <w:tc>
          <w:tcPr>
            <w:tcW w:w="204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992"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检测设备</w:t>
            </w:r>
          </w:p>
        </w:tc>
        <w:tc>
          <w:tcPr>
            <w:tcW w:w="1837"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00"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1套</w:t>
            </w:r>
          </w:p>
        </w:tc>
        <w:tc>
          <w:tcPr>
            <w:tcW w:w="2041"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99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混凝土汽泵</w:t>
            </w:r>
          </w:p>
        </w:tc>
        <w:tc>
          <w:tcPr>
            <w:tcW w:w="183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AH5257THB</w:t>
            </w:r>
          </w:p>
        </w:tc>
        <w:tc>
          <w:tcPr>
            <w:tcW w:w="19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1台</w:t>
            </w:r>
          </w:p>
        </w:tc>
        <w:tc>
          <w:tcPr>
            <w:tcW w:w="2041"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99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固定泵</w:t>
            </w:r>
          </w:p>
        </w:tc>
        <w:tc>
          <w:tcPr>
            <w:tcW w:w="183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HBT80.16.195RS</w:t>
            </w:r>
          </w:p>
        </w:tc>
        <w:tc>
          <w:tcPr>
            <w:tcW w:w="19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1台</w:t>
            </w:r>
          </w:p>
        </w:tc>
        <w:tc>
          <w:tcPr>
            <w:tcW w:w="2041"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8522" w:type="dxa"/>
            <w:gridSpan w:val="5"/>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75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99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沉淀池</w:t>
            </w:r>
          </w:p>
        </w:tc>
        <w:tc>
          <w:tcPr>
            <w:tcW w:w="1837"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设备厂家：</w:t>
            </w:r>
            <w:r>
              <w:rPr>
                <w:rFonts w:hint="eastAsia" w:ascii="Times New Roman" w:hAnsi="Times New Roman" w:eastAsia="宋体" w:cs="Times New Roman"/>
                <w:color w:val="auto"/>
                <w:sz w:val="21"/>
                <w:szCs w:val="21"/>
                <w:lang w:eastAsia="zh-CN"/>
              </w:rPr>
              <w:t>安徽天诚环保机械有限公司</w:t>
            </w:r>
          </w:p>
        </w:tc>
        <w:tc>
          <w:tcPr>
            <w:tcW w:w="1900" w:type="dxa"/>
            <w:vAlign w:val="center"/>
          </w:tcPr>
          <w:p>
            <w:pPr>
              <w:bidi w:val="0"/>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1个（8m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2041"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三级沉淀（总容积60m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）；保洁废水沉淀池（</w:t>
            </w:r>
            <w:r>
              <w:rPr>
                <w:rFonts w:hint="eastAsia" w:ascii="Times New Roman" w:hAnsi="Times New Roman" w:eastAsia="宋体" w:cs="Times New Roman"/>
                <w:color w:val="auto"/>
                <w:sz w:val="21"/>
                <w:szCs w:val="21"/>
                <w:lang w:val="en-US" w:eastAsia="zh-CN"/>
              </w:rPr>
              <w:t>容积16m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992"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砂石分离机</w:t>
            </w:r>
          </w:p>
        </w:tc>
        <w:tc>
          <w:tcPr>
            <w:tcW w:w="1837" w:type="dxa"/>
            <w:vMerge w:val="continue"/>
            <w:vAlign w:val="center"/>
          </w:tcPr>
          <w:p>
            <w:pPr>
              <w:bidi w:val="0"/>
              <w:jc w:val="center"/>
              <w:rPr>
                <w:rFonts w:hint="default" w:ascii="Times New Roman" w:hAnsi="Times New Roman" w:eastAsia="宋体" w:cs="Times New Roman"/>
                <w:sz w:val="21"/>
                <w:szCs w:val="21"/>
              </w:rPr>
            </w:pPr>
          </w:p>
        </w:tc>
        <w:tc>
          <w:tcPr>
            <w:tcW w:w="1900"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台</w:t>
            </w:r>
          </w:p>
        </w:tc>
        <w:tc>
          <w:tcPr>
            <w:tcW w:w="2041"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992"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化粪池</w:t>
            </w:r>
          </w:p>
        </w:tc>
        <w:tc>
          <w:tcPr>
            <w:tcW w:w="1837" w:type="dxa"/>
            <w:vMerge w:val="continue"/>
            <w:vAlign w:val="center"/>
          </w:tcPr>
          <w:p>
            <w:pPr>
              <w:bidi w:val="0"/>
              <w:jc w:val="center"/>
              <w:rPr>
                <w:rFonts w:hint="default" w:ascii="Times New Roman" w:hAnsi="Times New Roman" w:eastAsia="宋体" w:cs="Times New Roman"/>
                <w:sz w:val="21"/>
                <w:szCs w:val="21"/>
              </w:rPr>
            </w:pPr>
          </w:p>
        </w:tc>
        <w:tc>
          <w:tcPr>
            <w:tcW w:w="19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1个</w:t>
            </w:r>
          </w:p>
        </w:tc>
        <w:tc>
          <w:tcPr>
            <w:tcW w:w="204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75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99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除尘器</w:t>
            </w:r>
          </w:p>
        </w:tc>
        <w:tc>
          <w:tcPr>
            <w:tcW w:w="1837" w:type="dxa"/>
            <w:vMerge w:val="continue"/>
            <w:vAlign w:val="center"/>
          </w:tcPr>
          <w:p>
            <w:pPr>
              <w:bidi w:val="0"/>
              <w:jc w:val="center"/>
              <w:rPr>
                <w:rFonts w:hint="default" w:ascii="Times New Roman" w:hAnsi="Times New Roman" w:eastAsia="宋体" w:cs="Times New Roman"/>
                <w:sz w:val="21"/>
                <w:szCs w:val="21"/>
              </w:rPr>
            </w:pPr>
          </w:p>
        </w:tc>
        <w:tc>
          <w:tcPr>
            <w:tcW w:w="1900"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4台</w:t>
            </w: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（4个圆筒料仓各设一台）</w:t>
            </w:r>
          </w:p>
        </w:tc>
        <w:tc>
          <w:tcPr>
            <w:tcW w:w="2041"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3台</w:t>
            </w: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（4个原料储罐共用2台除尘器，搅拌主楼下料口一台）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992"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w:t>
            </w:r>
          </w:p>
        </w:tc>
        <w:tc>
          <w:tcPr>
            <w:tcW w:w="1837" w:type="dxa"/>
            <w:vMerge w:val="continue"/>
            <w:vAlign w:val="center"/>
          </w:tcPr>
          <w:p>
            <w:pPr>
              <w:bidi w:val="0"/>
              <w:jc w:val="center"/>
              <w:rPr>
                <w:rFonts w:hint="default" w:ascii="Times New Roman" w:hAnsi="Times New Roman" w:eastAsia="宋体" w:cs="Times New Roman"/>
                <w:color w:val="auto"/>
                <w:sz w:val="21"/>
                <w:szCs w:val="21"/>
                <w:lang w:val="en-US" w:eastAsia="zh-CN"/>
              </w:rPr>
            </w:pPr>
          </w:p>
        </w:tc>
        <w:tc>
          <w:tcPr>
            <w:tcW w:w="1900"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根</w:t>
            </w:r>
          </w:p>
        </w:tc>
        <w:tc>
          <w:tcPr>
            <w:tcW w:w="2041"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根（内径：0.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52"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992"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喷淋器</w:t>
            </w:r>
          </w:p>
        </w:tc>
        <w:tc>
          <w:tcPr>
            <w:tcW w:w="1837" w:type="dxa"/>
            <w:vMerge w:val="continue"/>
            <w:vAlign w:val="center"/>
          </w:tcPr>
          <w:p>
            <w:pPr>
              <w:bidi w:val="0"/>
              <w:jc w:val="center"/>
              <w:rPr>
                <w:rFonts w:hint="default" w:ascii="Times New Roman" w:hAnsi="Times New Roman" w:eastAsia="宋体" w:cs="Times New Roman"/>
                <w:color w:val="auto"/>
                <w:sz w:val="21"/>
                <w:szCs w:val="21"/>
                <w:lang w:val="en-US" w:eastAsia="zh-CN"/>
              </w:rPr>
            </w:pPr>
          </w:p>
        </w:tc>
        <w:tc>
          <w:tcPr>
            <w:tcW w:w="1900"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041"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8个</w:t>
            </w:r>
          </w:p>
        </w:tc>
      </w:tr>
    </w:tbl>
    <w:p>
      <w:pPr>
        <w:pStyle w:val="9"/>
        <w:bidi w:val="0"/>
        <w:rPr>
          <w:rFonts w:hint="default"/>
          <w:highlight w:val="none"/>
          <w:lang w:val="en-US" w:eastAsia="zh-CN"/>
        </w:rPr>
      </w:pPr>
      <w:r>
        <w:rPr>
          <w:rFonts w:hint="eastAsia"/>
          <w:highlight w:val="none"/>
          <w:lang w:val="en-US" w:eastAsia="zh-CN"/>
        </w:rPr>
        <w:t>由上表可知，项目混凝土汽泵和固定泵取消建设，其他实际生产设备与项目环评一致。环保设备中环评设计建设1个8m</w:t>
      </w:r>
      <w:r>
        <w:rPr>
          <w:rFonts w:hint="eastAsia"/>
          <w:highlight w:val="none"/>
          <w:vertAlign w:val="superscript"/>
          <w:lang w:val="en-US" w:eastAsia="zh-CN"/>
        </w:rPr>
        <w:t>3</w:t>
      </w:r>
      <w:r>
        <w:rPr>
          <w:rFonts w:hint="eastAsia"/>
          <w:highlight w:val="none"/>
          <w:lang w:val="en-US" w:eastAsia="zh-CN"/>
        </w:rPr>
        <w:t>沉淀池，项目实际设三级沉淀</w:t>
      </w:r>
      <w:r>
        <w:rPr>
          <w:rFonts w:hint="eastAsia"/>
          <w:color w:val="auto"/>
          <w:highlight w:val="none"/>
          <w:lang w:val="en-US" w:eastAsia="zh-CN"/>
        </w:rPr>
        <w:t>废水处理工艺（三级沉淀总容积60m</w:t>
      </w:r>
      <w:r>
        <w:rPr>
          <w:rFonts w:hint="eastAsia"/>
          <w:color w:val="auto"/>
          <w:highlight w:val="none"/>
          <w:vertAlign w:val="superscript"/>
          <w:lang w:val="en-US" w:eastAsia="zh-CN"/>
        </w:rPr>
        <w:t>3</w:t>
      </w:r>
      <w:r>
        <w:rPr>
          <w:rFonts w:hint="eastAsia"/>
          <w:color w:val="auto"/>
          <w:highlight w:val="none"/>
          <w:lang w:val="en-US" w:eastAsia="zh-CN"/>
        </w:rPr>
        <w:t>）、1个保洁废水沉淀池（容积16m</w:t>
      </w:r>
      <w:r>
        <w:rPr>
          <w:rFonts w:hint="eastAsia"/>
          <w:color w:val="auto"/>
          <w:highlight w:val="none"/>
          <w:vertAlign w:val="superscript"/>
          <w:lang w:val="en-US" w:eastAsia="zh-CN"/>
        </w:rPr>
        <w:t>3</w:t>
      </w:r>
      <w:r>
        <w:rPr>
          <w:rFonts w:hint="eastAsia"/>
          <w:color w:val="auto"/>
          <w:highlight w:val="none"/>
          <w:lang w:val="en-US" w:eastAsia="zh-CN"/>
        </w:rPr>
        <w:t>）；项目</w:t>
      </w:r>
      <w:r>
        <w:rPr>
          <w:rFonts w:hint="eastAsia"/>
          <w:highlight w:val="none"/>
          <w:lang w:val="en-US" w:eastAsia="zh-CN"/>
        </w:rPr>
        <w:t>环评设计4个圆筒料仓仓顶均设一台除尘器，项目实际于3#、4#圆筒料仓仓顶各设一台袋式除尘器，2#圆筒料仓上料粉尘由管道收集至3#圆筒料仓仓顶除尘器处理，1#圆筒料仓上料粉尘由管道收集至4#圆筒料仓仓顶除尘器处理；本项目于搅拌主楼下增设一台脉冲袋式除尘器对下料粉尘进行处理。</w:t>
      </w:r>
    </w:p>
    <w:p>
      <w:pPr>
        <w:pStyle w:val="16"/>
        <w:bidi w:val="0"/>
        <w:rPr>
          <w:rFonts w:hint="eastAsia"/>
          <w:sz w:val="24"/>
          <w:szCs w:val="22"/>
          <w:highlight w:val="none"/>
          <w:lang w:val="en-US" w:eastAsia="zh-CN"/>
        </w:rPr>
      </w:pPr>
      <w:bookmarkStart w:id="11" w:name="_Toc10383"/>
      <w:r>
        <w:rPr>
          <w:rFonts w:hint="eastAsia"/>
          <w:sz w:val="24"/>
          <w:szCs w:val="22"/>
          <w:highlight w:val="none"/>
          <w:lang w:val="en-US" w:eastAsia="zh-CN"/>
        </w:rPr>
        <w:t>3.5 水源及水平衡</w:t>
      </w:r>
      <w:bookmarkEnd w:id="11"/>
    </w:p>
    <w:p>
      <w:pPr>
        <w:pStyle w:val="9"/>
        <w:bidi w:val="0"/>
        <w:rPr>
          <w:rFonts w:hint="eastAsia"/>
          <w:lang w:val="en-US" w:eastAsia="zh-CN"/>
        </w:rPr>
      </w:pPr>
      <w:r>
        <w:rPr>
          <w:rFonts w:hint="eastAsia"/>
          <w:lang w:val="en-US" w:eastAsia="zh-CN"/>
        </w:rPr>
        <w:t>全厂供水由长丰县市政管网供给，依托华盛轻工（合肥）有限公司厂区现有供水管网。用水主要为混凝土搅拌用水、设备冲洗用水、厂区保洁用水及职工办公生活用水。生产废水不外排，设备冲洗废水经砂石分离机处理、沉淀池沉淀后回用于生产，厂区保洁废水经保洁废水沉淀池处理后回用于厂区保洁，职工生活污水经厂区化粪池预处理后通过市政污水管网进入蔡田铺污水处理厂处理，处理达标后排入板桥河。</w:t>
      </w:r>
    </w:p>
    <w:p>
      <w:pPr>
        <w:pStyle w:val="9"/>
        <w:bidi w:val="0"/>
        <w:rPr>
          <w:rFonts w:hint="eastAsia"/>
          <w:highlight w:val="none"/>
          <w:lang w:val="en-US" w:eastAsia="zh-CN"/>
        </w:rPr>
      </w:pPr>
      <w:r>
        <w:rPr>
          <w:rFonts w:hint="eastAsia"/>
          <w:lang w:val="en-US" w:eastAsia="zh-CN"/>
        </w:rPr>
        <w:t>全厂项目用水量按照实际情况核</w:t>
      </w:r>
      <w:r>
        <w:rPr>
          <w:rFonts w:hint="eastAsia"/>
          <w:highlight w:val="none"/>
          <w:lang w:val="en-US" w:eastAsia="zh-CN"/>
        </w:rPr>
        <w:t>算。厂区实际工作人数45人，年工作天数260</w:t>
      </w:r>
      <w:r>
        <w:rPr>
          <w:rFonts w:hint="eastAsia"/>
          <w:color w:val="auto"/>
          <w:highlight w:val="none"/>
          <w:lang w:val="en-US" w:eastAsia="zh-CN"/>
        </w:rPr>
        <w:t>天。全厂平均日用水量约为230.68m</w:t>
      </w:r>
      <w:r>
        <w:rPr>
          <w:rFonts w:hint="eastAsia"/>
          <w:color w:val="auto"/>
          <w:highlight w:val="none"/>
          <w:vertAlign w:val="superscript"/>
          <w:lang w:val="en-US" w:eastAsia="zh-CN"/>
        </w:rPr>
        <w:t>3</w:t>
      </w:r>
      <w:r>
        <w:rPr>
          <w:rFonts w:hint="eastAsia"/>
          <w:color w:val="auto"/>
          <w:highlight w:val="none"/>
          <w:lang w:val="en-US" w:eastAsia="zh-CN"/>
        </w:rPr>
        <w:t>，平均年</w:t>
      </w:r>
      <w:r>
        <w:rPr>
          <w:rFonts w:hint="eastAsia"/>
          <w:highlight w:val="none"/>
          <w:lang w:val="en-US" w:eastAsia="zh-CN"/>
        </w:rPr>
        <w:t>新鲜用水量为59976.8m</w:t>
      </w:r>
      <w:r>
        <w:rPr>
          <w:rFonts w:hint="eastAsia"/>
          <w:highlight w:val="none"/>
          <w:vertAlign w:val="superscript"/>
          <w:lang w:val="en-US" w:eastAsia="zh-CN"/>
        </w:rPr>
        <w:t>3</w:t>
      </w:r>
      <w:r>
        <w:rPr>
          <w:rFonts w:hint="eastAsia"/>
          <w:highlight w:val="none"/>
          <w:lang w:val="en-US" w:eastAsia="zh-CN"/>
        </w:rPr>
        <w:t>。全厂实际水平衡见下图：</w:t>
      </w:r>
    </w:p>
    <w:p>
      <w:pPr>
        <w:bidi w:val="0"/>
        <w:jc w:val="center"/>
        <w:rPr>
          <w:rFonts w:hint="eastAsia"/>
          <w:lang w:val="en-US" w:eastAsia="zh-CN"/>
        </w:rPr>
      </w:pPr>
      <w:r>
        <w:rPr>
          <w:rFonts w:hint="eastAsia"/>
          <w:lang w:val="en-US" w:eastAsia="zh-CN"/>
        </w:rPr>
        <w:object>
          <v:shape id="_x0000_i1027" o:spt="75" type="#_x0000_t75" style="height:278.7pt;width:337.9pt;" o:ole="t" filled="f" o:preferrelative="t" stroked="f" coordsize="21600,21600">
            <v:path/>
            <v:fill on="f" focussize="0,0"/>
            <v:stroke on="f"/>
            <v:imagedata r:id="rId11" o:title=""/>
            <o:lock v:ext="edit" aspectratio="f"/>
            <w10:wrap type="none"/>
            <w10:anchorlock/>
          </v:shape>
          <o:OLEObject Type="Embed" ProgID="Visio.Drawing.11" ShapeID="_x0000_i1027" DrawAspect="Content" ObjectID="_1468075727" r:id="rId10">
            <o:LockedField>false</o:LockedField>
          </o:OLEObject>
        </w:object>
      </w:r>
    </w:p>
    <w:p>
      <w:pPr>
        <w:pStyle w:val="13"/>
        <w:bidi w:val="0"/>
        <w:rPr>
          <w:rFonts w:hint="eastAsia"/>
          <w:highlight w:val="none"/>
          <w:lang w:val="en-US" w:eastAsia="zh-CN"/>
        </w:rPr>
      </w:pPr>
      <w:r>
        <w:rPr>
          <w:rFonts w:hint="eastAsia"/>
          <w:highlight w:val="none"/>
          <w:lang w:val="en-US" w:eastAsia="zh-CN"/>
        </w:rPr>
        <w:t>图3.5-1    全厂实际水平衡图（单位：m</w:t>
      </w:r>
      <w:r>
        <w:rPr>
          <w:rFonts w:hint="eastAsia"/>
          <w:highlight w:val="none"/>
          <w:vertAlign w:val="superscript"/>
          <w:lang w:val="en-US" w:eastAsia="zh-CN"/>
        </w:rPr>
        <w:t>3</w:t>
      </w:r>
      <w:r>
        <w:rPr>
          <w:rFonts w:hint="eastAsia"/>
          <w:highlight w:val="none"/>
          <w:lang w:val="en-US" w:eastAsia="zh-CN"/>
        </w:rPr>
        <w:t>/d）</w:t>
      </w:r>
    </w:p>
    <w:p>
      <w:pPr>
        <w:pStyle w:val="9"/>
        <w:bidi w:val="0"/>
        <w:rPr>
          <w:rFonts w:hint="eastAsia"/>
          <w:highlight w:val="none"/>
          <w:lang w:val="en-US" w:eastAsia="zh-CN"/>
        </w:rPr>
      </w:pPr>
      <w:r>
        <w:rPr>
          <w:rFonts w:hint="eastAsia"/>
          <w:highlight w:val="none"/>
          <w:lang w:val="en-US" w:eastAsia="zh-CN"/>
        </w:rPr>
        <w:t>根据全厂实际水平衡</w:t>
      </w:r>
      <w:r>
        <w:rPr>
          <w:rFonts w:hint="eastAsia"/>
          <w:color w:val="auto"/>
          <w:highlight w:val="none"/>
          <w:lang w:val="en-US" w:eastAsia="zh-CN"/>
        </w:rPr>
        <w:t>图，全厂日排废水量为2.7m</w:t>
      </w:r>
      <w:r>
        <w:rPr>
          <w:rFonts w:hint="eastAsia"/>
          <w:color w:val="auto"/>
          <w:highlight w:val="none"/>
          <w:vertAlign w:val="superscript"/>
          <w:lang w:val="en-US" w:eastAsia="zh-CN"/>
        </w:rPr>
        <w:t>3</w:t>
      </w:r>
      <w:r>
        <w:rPr>
          <w:rFonts w:hint="eastAsia"/>
          <w:color w:val="auto"/>
          <w:highlight w:val="none"/>
          <w:lang w:val="en-US" w:eastAsia="zh-CN"/>
        </w:rPr>
        <w:t>/d，年排废水量为702m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highlight w:val="none"/>
          <w:lang w:val="en-US" w:eastAsia="zh-CN"/>
        </w:rPr>
        <w:t>生产废水不外排，设备冲洗废水经砂石分离机处理、沉淀池沉淀后回用于生产，厂区保洁废水经保洁废水沉淀池处理后回用于保洁，职工生活污水经厂区化粪池预处理后通过市政污水管网进入蔡田铺污水处理厂处理，处理达标后排入板桥河。</w:t>
      </w:r>
    </w:p>
    <w:p>
      <w:pPr>
        <w:pStyle w:val="9"/>
        <w:bidi w:val="0"/>
        <w:rPr>
          <w:rFonts w:hint="eastAsia"/>
          <w:color w:val="auto"/>
          <w:lang w:val="en-US" w:eastAsia="zh-CN"/>
        </w:rPr>
      </w:pPr>
      <w:r>
        <w:rPr>
          <w:rFonts w:hint="eastAsia"/>
          <w:lang w:val="en-US" w:eastAsia="zh-CN"/>
        </w:rPr>
        <w:t>废水中COD、NH</w:t>
      </w:r>
      <w:r>
        <w:rPr>
          <w:rFonts w:hint="eastAsia"/>
          <w:vertAlign w:val="subscript"/>
          <w:lang w:val="en-US" w:eastAsia="zh-CN"/>
        </w:rPr>
        <w:t>3</w:t>
      </w:r>
      <w:r>
        <w:rPr>
          <w:rFonts w:hint="eastAsia"/>
          <w:lang w:val="en-US" w:eastAsia="zh-CN"/>
        </w:rPr>
        <w:t>-N排放浓度按DB34/2710-2016《巢湖流域城镇污水处理厂和工业行业主要水污染物排放限值》中城镇污水处理厂排放限值，未规定的工业行业其他水污染物执行GB18918-2002中一级A标准计</w:t>
      </w:r>
      <w:r>
        <w:rPr>
          <w:rFonts w:hint="eastAsia"/>
          <w:color w:val="auto"/>
          <w:lang w:val="en-US" w:eastAsia="zh-CN"/>
        </w:rPr>
        <w:t>算，分别为40mg/L、2mg/L，排放量分别为0.02808m</w:t>
      </w:r>
      <w:r>
        <w:rPr>
          <w:rFonts w:hint="eastAsia"/>
          <w:color w:val="auto"/>
          <w:vertAlign w:val="superscript"/>
          <w:lang w:val="en-US" w:eastAsia="zh-CN"/>
        </w:rPr>
        <w:t>3</w:t>
      </w:r>
      <w:r>
        <w:rPr>
          <w:rFonts w:hint="eastAsia"/>
          <w:color w:val="auto"/>
          <w:lang w:val="en-US" w:eastAsia="zh-CN"/>
        </w:rPr>
        <w:t>/a、0.001404m</w:t>
      </w:r>
      <w:r>
        <w:rPr>
          <w:rFonts w:hint="eastAsia"/>
          <w:color w:val="auto"/>
          <w:vertAlign w:val="superscript"/>
          <w:lang w:val="en-US" w:eastAsia="zh-CN"/>
        </w:rPr>
        <w:t>3</w:t>
      </w:r>
      <w:r>
        <w:rPr>
          <w:rFonts w:hint="eastAsia"/>
          <w:color w:val="auto"/>
          <w:lang w:val="en-US" w:eastAsia="zh-CN"/>
        </w:rPr>
        <w:t>/a。</w:t>
      </w:r>
    </w:p>
    <w:p>
      <w:pPr>
        <w:pStyle w:val="16"/>
        <w:bidi w:val="0"/>
        <w:rPr>
          <w:rFonts w:hint="eastAsia"/>
          <w:color w:val="auto"/>
          <w:sz w:val="24"/>
          <w:szCs w:val="22"/>
          <w:lang w:val="en-US" w:eastAsia="zh-CN"/>
        </w:rPr>
      </w:pPr>
      <w:bookmarkStart w:id="12" w:name="_Toc26284"/>
      <w:r>
        <w:rPr>
          <w:rFonts w:hint="eastAsia"/>
          <w:color w:val="auto"/>
          <w:sz w:val="24"/>
          <w:szCs w:val="22"/>
          <w:lang w:val="en-US" w:eastAsia="zh-CN"/>
        </w:rPr>
        <w:t>3.6 工艺及简述</w:t>
      </w:r>
      <w:bookmarkEnd w:id="12"/>
    </w:p>
    <w:p>
      <w:pPr>
        <w:pStyle w:val="9"/>
        <w:bidi w:val="0"/>
        <w:rPr>
          <w:rFonts w:hint="eastAsia"/>
          <w:lang w:val="en-US" w:eastAsia="zh-CN"/>
        </w:rPr>
      </w:pPr>
      <w:r>
        <w:rPr>
          <w:rFonts w:hint="eastAsia"/>
          <w:lang w:val="en-US" w:eastAsia="zh-CN"/>
        </w:rPr>
        <w:t>本项目主要为商品混凝土的生产，通过下料、计量、搅拌，经取样检验合格后得到成品，主要工艺流程如下：</w:t>
      </w:r>
    </w:p>
    <w:p>
      <w:pPr>
        <w:bidi w:val="0"/>
        <w:jc w:val="center"/>
        <w:rPr>
          <w:rFonts w:hint="eastAsia"/>
          <w:lang w:val="en-US" w:eastAsia="zh-CN"/>
        </w:rPr>
      </w:pPr>
      <w:r>
        <w:rPr>
          <w:rFonts w:hint="eastAsia"/>
          <w:lang w:val="en-US" w:eastAsia="zh-CN"/>
        </w:rPr>
        <w:object>
          <v:shape id="_x0000_i1035" o:spt="75" alt="" type="#_x0000_t75" style="height:270.2pt;width:355.6pt;" o:ole="t" filled="f" o:preferrelative="t" stroked="f" coordsize="21600,21600">
            <v:path/>
            <v:fill on="f" focussize="0,0"/>
            <v:stroke on="f"/>
            <v:imagedata r:id="rId13" o:title=""/>
            <o:lock v:ext="edit" aspectratio="f"/>
            <w10:wrap type="none"/>
            <w10:anchorlock/>
          </v:shape>
          <o:OLEObject Type="Embed" ProgID="Visio.Drawing.11" ShapeID="_x0000_i1035" DrawAspect="Content" ObjectID="_1468075728" r:id="rId12">
            <o:LockedField>false</o:LockedField>
          </o:OLEObject>
        </w:object>
      </w:r>
    </w:p>
    <w:p>
      <w:pPr>
        <w:pStyle w:val="13"/>
        <w:bidi w:val="0"/>
        <w:rPr>
          <w:rFonts w:hint="eastAsia"/>
          <w:b/>
          <w:bCs/>
          <w:sz w:val="21"/>
          <w:szCs w:val="21"/>
          <w:lang w:val="en-US" w:eastAsia="zh-CN"/>
        </w:rPr>
      </w:pPr>
      <w:r>
        <w:rPr>
          <w:rFonts w:hint="eastAsia"/>
          <w:lang w:val="en-US" w:eastAsia="zh-CN"/>
        </w:rPr>
        <w:t>图3.6-1    本项目生产工艺流程图</w:t>
      </w:r>
    </w:p>
    <w:p>
      <w:pPr>
        <w:pStyle w:val="9"/>
        <w:bidi w:val="0"/>
        <w:spacing w:line="240" w:lineRule="auto"/>
        <w:ind w:left="0" w:leftChars="0" w:firstLine="0" w:firstLineChars="0"/>
        <w:rPr>
          <w:rFonts w:hint="eastAsia"/>
          <w:b/>
          <w:bCs/>
          <w:sz w:val="21"/>
          <w:szCs w:val="21"/>
          <w:lang w:val="en-US" w:eastAsia="zh-CN"/>
        </w:rPr>
      </w:pPr>
      <w:r>
        <w:rPr>
          <w:rFonts w:hint="eastAsia"/>
          <w:b/>
          <w:bCs/>
          <w:sz w:val="21"/>
          <w:szCs w:val="21"/>
          <w:lang w:val="en-US" w:eastAsia="zh-CN"/>
        </w:rPr>
        <w:t>注：G</w:t>
      </w:r>
      <w:r>
        <w:rPr>
          <w:rFonts w:hint="eastAsia"/>
          <w:b/>
          <w:bCs/>
          <w:sz w:val="21"/>
          <w:szCs w:val="21"/>
          <w:vertAlign w:val="subscript"/>
          <w:lang w:val="en-US" w:eastAsia="zh-CN"/>
        </w:rPr>
        <w:t>1</w:t>
      </w:r>
      <w:r>
        <w:rPr>
          <w:rFonts w:hint="eastAsia"/>
          <w:b/>
          <w:bCs/>
          <w:sz w:val="21"/>
          <w:szCs w:val="21"/>
          <w:lang w:val="en-US" w:eastAsia="zh-CN"/>
        </w:rPr>
        <w:t>——上料粉尘；G</w:t>
      </w:r>
      <w:r>
        <w:rPr>
          <w:rFonts w:hint="eastAsia"/>
          <w:b/>
          <w:bCs/>
          <w:sz w:val="21"/>
          <w:szCs w:val="21"/>
          <w:vertAlign w:val="subscript"/>
          <w:lang w:val="en-US" w:eastAsia="zh-CN"/>
        </w:rPr>
        <w:t>2</w:t>
      </w:r>
      <w:r>
        <w:rPr>
          <w:rFonts w:hint="eastAsia"/>
          <w:b/>
          <w:bCs/>
          <w:sz w:val="21"/>
          <w:szCs w:val="21"/>
          <w:lang w:val="en-US" w:eastAsia="zh-CN"/>
        </w:rPr>
        <w:t>——搅拌主楼下料粉尘；N-噪声；</w:t>
      </w:r>
    </w:p>
    <w:p>
      <w:pPr>
        <w:pStyle w:val="9"/>
        <w:bidi w:val="0"/>
        <w:rPr>
          <w:rFonts w:hint="eastAsia"/>
          <w:lang w:val="en-US" w:eastAsia="zh-CN"/>
        </w:rPr>
      </w:pPr>
      <w:r>
        <w:rPr>
          <w:rFonts w:hint="eastAsia"/>
          <w:lang w:val="en-US" w:eastAsia="zh-CN"/>
        </w:rPr>
        <w:t>工艺说明：</w:t>
      </w:r>
    </w:p>
    <w:p>
      <w:pPr>
        <w:pStyle w:val="9"/>
        <w:bidi w:val="0"/>
        <w:rPr>
          <w:rFonts w:hint="eastAsia"/>
          <w:lang w:val="en-US" w:eastAsia="zh-CN"/>
        </w:rPr>
      </w:pPr>
      <w:r>
        <w:rPr>
          <w:rFonts w:hint="eastAsia"/>
          <w:lang w:val="en-US" w:eastAsia="zh-CN"/>
        </w:rPr>
        <w:t>商品混凝土生产由搅拌机来完成，技术人员按先进、合理、经济的配方进行配料。水泥、粉煤灰、</w:t>
      </w:r>
      <w:r>
        <w:rPr>
          <w:rFonts w:hint="eastAsia"/>
          <w:color w:val="auto"/>
          <w:lang w:val="en-US" w:eastAsia="zh-CN"/>
        </w:rPr>
        <w:t>矿渣粉由密封的散装车运至厂内，用气泵打入圆筒料仓（外协）。水泥、粉煤灰、矿渣粉按配方经过精确计量由圆筒料仓送到搅拌机进料斗，黄砂</w:t>
      </w:r>
      <w:r>
        <w:rPr>
          <w:rFonts w:hint="eastAsia"/>
          <w:lang w:val="en-US" w:eastAsia="zh-CN"/>
        </w:rPr>
        <w:t>、石子按配方经过精确计量由皮带运输机送到搅拌机进料斗，原料在搅拌机里加水和外加剂，经过充分的搅拌，使水泥和砂子、石子的亲和力达到最大，再取样检验，检验合格后，即可外运。生产工序均采用电脑集中控制，各工序的连锁、联动的协调性、安全性非常强，原料的输送、计量等方式均为封闭式。经取样检验后合格的混凝土由搅拌车运送到各建筑工地。</w:t>
      </w:r>
    </w:p>
    <w:p>
      <w:pPr>
        <w:pStyle w:val="16"/>
        <w:bidi w:val="0"/>
        <w:rPr>
          <w:rFonts w:hint="eastAsia"/>
          <w:sz w:val="24"/>
          <w:szCs w:val="22"/>
          <w:lang w:val="en-US" w:eastAsia="zh-CN"/>
        </w:rPr>
      </w:pPr>
      <w:bookmarkStart w:id="13" w:name="_Toc27370"/>
      <w:r>
        <w:rPr>
          <w:rFonts w:hint="eastAsia"/>
          <w:sz w:val="24"/>
          <w:szCs w:val="22"/>
          <w:lang w:val="en-US" w:eastAsia="zh-CN"/>
        </w:rPr>
        <w:t>3.7 项目变动情况</w:t>
      </w:r>
      <w:bookmarkEnd w:id="13"/>
    </w:p>
    <w:p>
      <w:pPr>
        <w:pStyle w:val="9"/>
        <w:bidi w:val="0"/>
        <w:rPr>
          <w:rFonts w:hint="eastAsia"/>
          <w:lang w:val="en-US" w:eastAsia="zh-CN"/>
        </w:rPr>
      </w:pPr>
      <w:r>
        <w:rPr>
          <w:rFonts w:hint="eastAsia"/>
          <w:lang w:val="en-US" w:eastAsia="zh-CN"/>
        </w:rPr>
        <w:t>本项目实际建设情况与环评及批复对比：</w:t>
      </w:r>
    </w:p>
    <w:p>
      <w:pPr>
        <w:pStyle w:val="9"/>
        <w:bidi w:val="0"/>
        <w:rPr>
          <w:rFonts w:hint="eastAsia"/>
          <w:lang w:val="en-US" w:eastAsia="zh-CN"/>
        </w:rPr>
      </w:pPr>
      <w:r>
        <w:rPr>
          <w:rFonts w:hint="eastAsia"/>
          <w:lang w:val="en-US" w:eastAsia="zh-CN"/>
        </w:rPr>
        <w:t>1、环评设计4个圆筒料</w:t>
      </w:r>
      <w:r>
        <w:rPr>
          <w:rFonts w:hint="eastAsia"/>
          <w:highlight w:val="none"/>
          <w:lang w:val="en-US" w:eastAsia="zh-CN"/>
        </w:rPr>
        <w:t>仓仓</w:t>
      </w:r>
      <w:r>
        <w:rPr>
          <w:rFonts w:hint="eastAsia"/>
          <w:lang w:val="en-US" w:eastAsia="zh-CN"/>
        </w:rPr>
        <w:t>顶均安装除尘器对圆筒料仓粉尘进行处理。实际建设过程中，项目于3#、4#圆筒料</w:t>
      </w:r>
      <w:r>
        <w:rPr>
          <w:rFonts w:hint="eastAsia"/>
          <w:highlight w:val="none"/>
          <w:lang w:val="en-US" w:eastAsia="zh-CN"/>
        </w:rPr>
        <w:t>仓仓</w:t>
      </w:r>
      <w:r>
        <w:rPr>
          <w:rFonts w:hint="eastAsia"/>
          <w:lang w:val="en-US" w:eastAsia="zh-CN"/>
        </w:rPr>
        <w:t>顶各安装1台除尘器，2#圆筒料仓粉尘由管道直接收集到3#圆筒料</w:t>
      </w:r>
      <w:r>
        <w:rPr>
          <w:rFonts w:hint="eastAsia"/>
          <w:highlight w:val="none"/>
          <w:lang w:val="en-US" w:eastAsia="zh-CN"/>
        </w:rPr>
        <w:t>仓仓</w:t>
      </w:r>
      <w:r>
        <w:rPr>
          <w:rFonts w:hint="eastAsia"/>
          <w:lang w:val="en-US" w:eastAsia="zh-CN"/>
        </w:rPr>
        <w:t>顶除尘器进行处理，1#圆筒料仓粉尘由管道直接收集到4#圆筒料</w:t>
      </w:r>
      <w:r>
        <w:rPr>
          <w:rFonts w:hint="eastAsia"/>
          <w:highlight w:val="none"/>
          <w:lang w:val="en-US" w:eastAsia="zh-CN"/>
        </w:rPr>
        <w:t>仓仓</w:t>
      </w:r>
      <w:r>
        <w:rPr>
          <w:rFonts w:hint="eastAsia"/>
          <w:lang w:val="en-US" w:eastAsia="zh-CN"/>
        </w:rPr>
        <w:t>顶除尘器进行处理。</w:t>
      </w:r>
    </w:p>
    <w:p>
      <w:pPr>
        <w:pStyle w:val="9"/>
        <w:bidi w:val="0"/>
        <w:rPr>
          <w:rFonts w:hint="default"/>
          <w:lang w:val="en-US" w:eastAsia="zh-CN"/>
        </w:rPr>
      </w:pPr>
      <w:r>
        <w:rPr>
          <w:rFonts w:hint="eastAsia"/>
          <w:lang w:val="en-US" w:eastAsia="zh-CN"/>
        </w:rPr>
        <w:t>2、环评设计下料过程粉尘（G</w:t>
      </w:r>
      <w:r>
        <w:rPr>
          <w:rFonts w:hint="eastAsia"/>
          <w:vertAlign w:val="subscript"/>
          <w:lang w:val="en-US" w:eastAsia="zh-CN"/>
        </w:rPr>
        <w:t>2</w:t>
      </w:r>
      <w:r>
        <w:rPr>
          <w:rFonts w:hint="eastAsia"/>
          <w:lang w:val="en-US" w:eastAsia="zh-CN"/>
        </w:rPr>
        <w:t>）通过封闭搅拌主楼、皮带运输机全封闭后无组织排放。实际建设过程中，企业除搅拌主楼封闭、皮带运输机全封闭外，同时配备脉冲袋式除尘器（DMC-40A）对搅拌主楼下料过程产生的粉尘进行收集处理。</w:t>
      </w:r>
    </w:p>
    <w:p>
      <w:pPr>
        <w:pStyle w:val="9"/>
        <w:bidi w:val="0"/>
        <w:rPr>
          <w:rFonts w:hint="eastAsia"/>
          <w:lang w:val="en-US" w:eastAsia="zh-CN"/>
        </w:rPr>
      </w:pPr>
      <w:r>
        <w:rPr>
          <w:rFonts w:hint="eastAsia"/>
          <w:lang w:val="en-US" w:eastAsia="zh-CN"/>
        </w:rPr>
        <w:t>3、环评设计圆筒料</w:t>
      </w:r>
      <w:r>
        <w:rPr>
          <w:rFonts w:hint="eastAsia"/>
          <w:highlight w:val="none"/>
          <w:lang w:val="en-US" w:eastAsia="zh-CN"/>
        </w:rPr>
        <w:t>仓仓</w:t>
      </w:r>
      <w:r>
        <w:rPr>
          <w:rFonts w:hint="eastAsia"/>
          <w:lang w:val="en-US" w:eastAsia="zh-CN"/>
        </w:rPr>
        <w:t>顶排气筒总高度约为21m，实际建设圆筒料</w:t>
      </w:r>
      <w:r>
        <w:rPr>
          <w:rFonts w:hint="eastAsia"/>
          <w:highlight w:val="none"/>
          <w:lang w:val="en-US" w:eastAsia="zh-CN"/>
        </w:rPr>
        <w:t>仓仓</w:t>
      </w:r>
      <w:r>
        <w:rPr>
          <w:rFonts w:hint="eastAsia"/>
          <w:lang w:val="en-US" w:eastAsia="zh-CN"/>
        </w:rPr>
        <w:t>顶排气筒总高度为25m。</w:t>
      </w:r>
    </w:p>
    <w:p>
      <w:pPr>
        <w:pStyle w:val="9"/>
        <w:bidi w:val="0"/>
        <w:rPr>
          <w:rFonts w:hint="eastAsia"/>
          <w:lang w:val="en-US" w:eastAsia="zh-CN"/>
        </w:rPr>
      </w:pPr>
      <w:r>
        <w:rPr>
          <w:rFonts w:hint="eastAsia"/>
          <w:lang w:val="en-US" w:eastAsia="zh-CN"/>
        </w:rPr>
        <w:t>4、环评设计厂区设混凝土汽泵1台、固定泵1台，实际混凝土汽泵、固定泵均不设。水泥、粉煤灰、矿渣粉上料均委托厂家，由厂家汽泵上料；固定泵实际为建筑工地所使用，厂区项目生产不需要固定泵。</w:t>
      </w:r>
    </w:p>
    <w:p>
      <w:pPr>
        <w:pStyle w:val="9"/>
        <w:bidi w:val="0"/>
        <w:rPr>
          <w:rFonts w:hint="eastAsia"/>
          <w:lang w:val="en-US" w:eastAsia="zh-CN"/>
        </w:rPr>
      </w:pPr>
      <w:r>
        <w:rPr>
          <w:rFonts w:hint="eastAsia"/>
          <w:lang w:val="en-US" w:eastAsia="zh-CN"/>
        </w:rPr>
        <w:t>上述内容不属于重大变动。</w:t>
      </w:r>
    </w:p>
    <w:p>
      <w:pPr>
        <w:pStyle w:val="13"/>
        <w:bidi w:val="0"/>
        <w:rPr>
          <w:rFonts w:hint="eastAsia"/>
          <w:lang w:val="en-US" w:eastAsia="zh-CN"/>
        </w:rPr>
      </w:pPr>
      <w:r>
        <w:rPr>
          <w:rFonts w:hint="eastAsia"/>
          <w:lang w:val="en-US" w:eastAsia="zh-CN"/>
        </w:rPr>
        <w:t>表3.7-1    项目变动情况一览表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400"/>
        <w:gridCol w:w="2872"/>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56"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环评及批复要求</w:t>
            </w:r>
          </w:p>
        </w:tc>
        <w:tc>
          <w:tcPr>
            <w:tcW w:w="2400"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实际建设情况</w:t>
            </w:r>
          </w:p>
        </w:tc>
        <w:tc>
          <w:tcPr>
            <w:tcW w:w="2872"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变动原因</w:t>
            </w:r>
          </w:p>
        </w:tc>
        <w:tc>
          <w:tcPr>
            <w:tcW w:w="1094"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56"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圆筒料仓</w:t>
            </w:r>
            <w:r>
              <w:rPr>
                <w:rFonts w:hint="eastAsia" w:ascii="Times New Roman" w:hAnsi="Times New Roman" w:eastAsia="宋体" w:cs="Times New Roman"/>
                <w:sz w:val="21"/>
                <w:szCs w:val="21"/>
                <w:lang w:val="en-US" w:eastAsia="zh-CN"/>
              </w:rPr>
              <w:t>上料</w:t>
            </w:r>
            <w:r>
              <w:rPr>
                <w:rFonts w:hint="default" w:ascii="Times New Roman" w:hAnsi="Times New Roman" w:eastAsia="宋体" w:cs="Times New Roman"/>
                <w:sz w:val="21"/>
                <w:szCs w:val="21"/>
                <w:lang w:val="en-US" w:eastAsia="zh-CN"/>
              </w:rPr>
              <w:t>粉尘</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4个圆筒料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顶均安装除尘器</w:t>
            </w:r>
            <w:r>
              <w:rPr>
                <w:rFonts w:hint="eastAsia" w:ascii="Times New Roman" w:hAnsi="Times New Roman" w:eastAsia="宋体" w:cs="Times New Roman"/>
                <w:sz w:val="21"/>
                <w:szCs w:val="21"/>
                <w:lang w:val="en-US" w:eastAsia="zh-CN"/>
              </w:rPr>
              <w:t>，处理后由仓顶排气筒排放</w:t>
            </w:r>
          </w:p>
        </w:tc>
        <w:tc>
          <w:tcPr>
            <w:tcW w:w="240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顶粉尘由管道收集经3#圆筒料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顶脉冲袋式除尘器处理后由1#排气筒排放；1#、4#圆筒料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顶粉尘由管道收集经4#圆筒料</w:t>
            </w:r>
            <w:r>
              <w:rPr>
                <w:rFonts w:hint="default" w:ascii="Times New Roman" w:hAnsi="Times New Roman" w:eastAsia="宋体" w:cs="Times New Roman"/>
                <w:sz w:val="21"/>
                <w:szCs w:val="21"/>
                <w:highlight w:val="none"/>
                <w:lang w:val="en-US" w:eastAsia="zh-CN"/>
              </w:rPr>
              <w:t>仓仓</w:t>
            </w:r>
            <w:r>
              <w:rPr>
                <w:rFonts w:hint="default" w:ascii="Times New Roman" w:hAnsi="Times New Roman" w:eastAsia="宋体" w:cs="Times New Roman"/>
                <w:sz w:val="21"/>
                <w:szCs w:val="21"/>
                <w:lang w:val="en-US" w:eastAsia="zh-CN"/>
              </w:rPr>
              <w:t>顶脉冲袋式除尘器处理后由2#排气筒排放</w:t>
            </w:r>
          </w:p>
        </w:tc>
        <w:tc>
          <w:tcPr>
            <w:tcW w:w="28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实际工程建设过程中，因设备布局不满足1#、2#圆筒料均设置除尘器，故将</w:t>
            </w:r>
            <w:r>
              <w:rPr>
                <w:rFonts w:hint="default" w:ascii="Times New Roman" w:hAnsi="Times New Roman" w:eastAsia="宋体" w:cs="Times New Roman"/>
                <w:sz w:val="21"/>
                <w:szCs w:val="21"/>
                <w:lang w:val="en-US" w:eastAsia="zh-CN"/>
              </w:rPr>
              <w:t>2#圆筒料仓粉尘由</w:t>
            </w:r>
            <w:r>
              <w:rPr>
                <w:rFonts w:hint="eastAsia" w:ascii="Times New Roman" w:hAnsi="Times New Roman" w:eastAsia="宋体" w:cs="Times New Roman"/>
                <w:sz w:val="21"/>
                <w:szCs w:val="21"/>
                <w:lang w:val="en-US" w:eastAsia="zh-CN"/>
              </w:rPr>
              <w:t>密闭</w:t>
            </w:r>
            <w:r>
              <w:rPr>
                <w:rFonts w:hint="default" w:ascii="Times New Roman" w:hAnsi="Times New Roman" w:eastAsia="宋体" w:cs="Times New Roman"/>
                <w:sz w:val="21"/>
                <w:szCs w:val="21"/>
                <w:lang w:val="en-US" w:eastAsia="zh-CN"/>
              </w:rPr>
              <w:t>管道收集到</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#圆筒料仓仓顶除尘器处理，</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#圆筒料仓粉尘由</w:t>
            </w:r>
            <w:r>
              <w:rPr>
                <w:rFonts w:hint="eastAsia" w:ascii="Times New Roman" w:hAnsi="Times New Roman" w:eastAsia="宋体" w:cs="Times New Roman"/>
                <w:sz w:val="21"/>
                <w:szCs w:val="21"/>
                <w:lang w:val="en-US" w:eastAsia="zh-CN"/>
              </w:rPr>
              <w:t>密闭</w:t>
            </w:r>
            <w:r>
              <w:rPr>
                <w:rFonts w:hint="default" w:ascii="Times New Roman" w:hAnsi="Times New Roman" w:eastAsia="宋体" w:cs="Times New Roman"/>
                <w:sz w:val="21"/>
                <w:szCs w:val="21"/>
                <w:lang w:val="en-US" w:eastAsia="zh-CN"/>
              </w:rPr>
              <w:t>管道收集到</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#圆筒料仓仓顶除尘器处理</w:t>
            </w:r>
            <w:r>
              <w:rPr>
                <w:rFonts w:hint="eastAsia" w:ascii="Times New Roman" w:hAnsi="Times New Roman" w:eastAsia="宋体" w:cs="Times New Roman"/>
                <w:sz w:val="21"/>
                <w:szCs w:val="21"/>
                <w:lang w:val="en-US" w:eastAsia="zh-CN"/>
              </w:rPr>
              <w:t>，收集风量可满足粉尘收集条件</w:t>
            </w:r>
          </w:p>
        </w:tc>
        <w:tc>
          <w:tcPr>
            <w:tcW w:w="109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56"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圆筒料</w:t>
            </w:r>
            <w:r>
              <w:rPr>
                <w:rFonts w:hint="eastAsia" w:ascii="Times New Roman" w:hAnsi="Times New Roman" w:eastAsia="宋体" w:cs="Times New Roman"/>
                <w:sz w:val="21"/>
                <w:szCs w:val="21"/>
                <w:highlight w:val="none"/>
                <w:lang w:val="en-US" w:eastAsia="zh-CN"/>
              </w:rPr>
              <w:t>仓仓</w:t>
            </w:r>
            <w:r>
              <w:rPr>
                <w:rFonts w:hint="eastAsia" w:ascii="Times New Roman" w:hAnsi="Times New Roman" w:eastAsia="宋体" w:cs="Times New Roman"/>
                <w:sz w:val="21"/>
                <w:szCs w:val="21"/>
                <w:lang w:val="en-US" w:eastAsia="zh-CN"/>
              </w:rPr>
              <w:t>顶排气筒总高度约为21m</w:t>
            </w:r>
          </w:p>
        </w:tc>
        <w:tc>
          <w:tcPr>
            <w:tcW w:w="24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圆筒料</w:t>
            </w:r>
            <w:r>
              <w:rPr>
                <w:rFonts w:hint="eastAsia" w:ascii="Times New Roman" w:hAnsi="Times New Roman" w:eastAsia="宋体" w:cs="Times New Roman"/>
                <w:sz w:val="21"/>
                <w:szCs w:val="21"/>
                <w:highlight w:val="none"/>
                <w:lang w:val="en-US" w:eastAsia="zh-CN"/>
              </w:rPr>
              <w:t>仓仓</w:t>
            </w:r>
            <w:r>
              <w:rPr>
                <w:rFonts w:hint="eastAsia" w:ascii="Times New Roman" w:hAnsi="Times New Roman" w:eastAsia="宋体" w:cs="Times New Roman"/>
                <w:sz w:val="21"/>
                <w:szCs w:val="21"/>
                <w:lang w:val="en-US" w:eastAsia="zh-CN"/>
              </w:rPr>
              <w:t>顶排气筒高度为25m</w:t>
            </w:r>
          </w:p>
        </w:tc>
        <w:tc>
          <w:tcPr>
            <w:tcW w:w="2872"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根据现行的环保政策，排气筒高度越高，污染物扩散速率越快，污染物最大落地浓度越小</w:t>
            </w:r>
          </w:p>
        </w:tc>
        <w:tc>
          <w:tcPr>
            <w:tcW w:w="109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56"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下料粉尘：搅拌主楼封闭处理</w:t>
            </w:r>
          </w:p>
        </w:tc>
        <w:tc>
          <w:tcPr>
            <w:tcW w:w="24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搅拌主楼封闭处理，同时下料过程设脉冲袋式除尘器处理</w:t>
            </w:r>
          </w:p>
        </w:tc>
        <w:tc>
          <w:tcPr>
            <w:tcW w:w="2872"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根据现行的环保政策，增设脉冲袋式除尘器对下料粉尘进行处理</w:t>
            </w:r>
          </w:p>
        </w:tc>
        <w:tc>
          <w:tcPr>
            <w:tcW w:w="109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56"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厂区设混凝土汽泵1台、固定泵1台</w:t>
            </w:r>
          </w:p>
        </w:tc>
        <w:tc>
          <w:tcPr>
            <w:tcW w:w="2400"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混凝土汽泵、固定泵均不设</w:t>
            </w:r>
          </w:p>
        </w:tc>
        <w:tc>
          <w:tcPr>
            <w:tcW w:w="28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实际建设过程粉状原料上料均委托原料厂家，由原料厂家汽泵上料；固定泵实际为建筑工地所使用，项目生产不需要固定泵</w:t>
            </w:r>
          </w:p>
        </w:tc>
        <w:tc>
          <w:tcPr>
            <w:tcW w:w="109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否</w:t>
            </w:r>
          </w:p>
        </w:tc>
      </w:tr>
    </w:tbl>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14" w:name="_Toc18652"/>
      <w:r>
        <w:rPr>
          <w:rFonts w:hint="eastAsia"/>
          <w:sz w:val="30"/>
          <w:szCs w:val="30"/>
          <w:lang w:val="en-US" w:eastAsia="zh-CN"/>
        </w:rPr>
        <w:t>四、环境保护设施</w:t>
      </w:r>
      <w:bookmarkEnd w:id="14"/>
    </w:p>
    <w:p>
      <w:pPr>
        <w:pStyle w:val="16"/>
        <w:bidi w:val="0"/>
        <w:rPr>
          <w:rFonts w:hint="eastAsia"/>
          <w:sz w:val="24"/>
          <w:szCs w:val="22"/>
          <w:lang w:val="en-US" w:eastAsia="zh-CN"/>
        </w:rPr>
      </w:pPr>
      <w:bookmarkStart w:id="15" w:name="_Toc15285"/>
      <w:r>
        <w:rPr>
          <w:rFonts w:hint="eastAsia"/>
          <w:sz w:val="24"/>
          <w:szCs w:val="22"/>
          <w:lang w:val="en-US" w:eastAsia="zh-CN"/>
        </w:rPr>
        <w:t>4.1 污染物治理设施</w:t>
      </w:r>
      <w:bookmarkEnd w:id="15"/>
    </w:p>
    <w:p>
      <w:pPr>
        <w:pStyle w:val="17"/>
        <w:bidi w:val="0"/>
        <w:rPr>
          <w:rFonts w:hint="eastAsia"/>
          <w:lang w:val="en-US" w:eastAsia="zh-CN"/>
        </w:rPr>
      </w:pPr>
      <w:r>
        <w:rPr>
          <w:rFonts w:hint="eastAsia"/>
          <w:lang w:val="en-US" w:eastAsia="zh-CN"/>
        </w:rPr>
        <w:t>4.1.1 废水</w:t>
      </w:r>
    </w:p>
    <w:p>
      <w:pPr>
        <w:pStyle w:val="9"/>
        <w:bidi w:val="0"/>
        <w:rPr>
          <w:rFonts w:hint="eastAsia"/>
          <w:lang w:val="en-US" w:eastAsia="zh-CN"/>
        </w:rPr>
      </w:pPr>
      <w:r>
        <w:rPr>
          <w:rFonts w:hint="eastAsia"/>
          <w:lang w:val="en-US" w:eastAsia="zh-CN"/>
        </w:rPr>
        <w:t>全厂供水由长丰县市政管网供给，依托华盛轻工（合肥）有限公司厂区现有供水管网。用水主要为混凝土搅拌用水、设备冲洗用水、厂区保洁用水及职工办公生活用水。生产废水不外排，设备冲洗废水经砂石分离机处理、沉淀池沉淀后回用于生产，厂区保洁废水经保洁废水沉淀池处理后回用于厂区保洁，职工生活污水经厂区化粪池预处理后通过市政污水管网进入蔡田铺污水处理厂处理，达标后排入板桥河。</w:t>
      </w:r>
    </w:p>
    <w:p>
      <w:pPr>
        <w:pStyle w:val="9"/>
        <w:bidi w:val="0"/>
        <w:rPr>
          <w:rFonts w:hint="eastAsia"/>
          <w:lang w:val="en-US" w:eastAsia="zh-CN"/>
        </w:rPr>
      </w:pPr>
      <w:r>
        <w:rPr>
          <w:rFonts w:hint="eastAsia"/>
          <w:lang w:val="en-US" w:eastAsia="zh-CN"/>
        </w:rPr>
        <w:t>由安徽长丰双凤经济开发区管理委员会建设发展局2009年8月12日出具的“关于雨、污管网分流工程验收证明”可知，华盛轻工（合肥）有限公司厂区已完成企业内部的雨污管网分流工程。2009年厂区雨水分流汇集于华盛轻工（合肥）有限公司内部的雨水塘，污水经市政管网收集全部进入蔡田铺污水处理厂处理（证明详见附件）。目前厂区（本项目所租赁的部分）雨水管网已接入西侧凤庆路雨水总排口。</w:t>
      </w:r>
    </w:p>
    <w:p>
      <w:pPr>
        <w:pStyle w:val="9"/>
        <w:bidi w:val="0"/>
        <w:rPr>
          <w:rFonts w:hint="eastAsia"/>
          <w:highlight w:val="none"/>
          <w:lang w:val="en-US" w:eastAsia="zh-CN"/>
        </w:rPr>
      </w:pPr>
      <w:r>
        <w:rPr>
          <w:rFonts w:hint="eastAsia"/>
          <w:lang w:val="en-US" w:eastAsia="zh-CN"/>
        </w:rPr>
        <w:t>项目厂区南侧设置1台砂石分离机，</w:t>
      </w:r>
      <w:r>
        <w:rPr>
          <w:rFonts w:hint="eastAsia"/>
          <w:highlight w:val="none"/>
          <w:lang w:val="en-US" w:eastAsia="zh-CN"/>
        </w:rPr>
        <w:t>于厂区东南侧设置了3个沉淀池（三级沉淀处理）和1个保洁废水沉淀池。</w:t>
      </w:r>
    </w:p>
    <w:p>
      <w:pPr>
        <w:pStyle w:val="9"/>
        <w:bidi w:val="0"/>
        <w:rPr>
          <w:rFonts w:hint="default"/>
          <w:highlight w:val="none"/>
          <w:lang w:val="en-US" w:eastAsia="zh-CN"/>
        </w:rPr>
      </w:pPr>
      <w:r>
        <w:rPr>
          <w:rFonts w:hint="eastAsia"/>
          <w:lang w:val="en-US" w:eastAsia="zh-CN"/>
        </w:rPr>
        <w:t>砂石分离机型号为龙祺ZSF-4型，筛分能力为40t/h；</w:t>
      </w:r>
      <w:r>
        <w:rPr>
          <w:rFonts w:hint="eastAsia"/>
          <w:highlight w:val="none"/>
          <w:lang w:val="en-US" w:eastAsia="zh-CN"/>
        </w:rPr>
        <w:t>三级沉淀中一级、二级沉淀池规格均为7×4×0.5m，容积均为14m</w:t>
      </w:r>
      <w:r>
        <w:rPr>
          <w:rFonts w:hint="eastAsia"/>
          <w:highlight w:val="none"/>
          <w:vertAlign w:val="superscript"/>
          <w:lang w:val="en-US" w:eastAsia="zh-CN"/>
        </w:rPr>
        <w:t>3</w:t>
      </w:r>
      <w:r>
        <w:rPr>
          <w:rFonts w:hint="eastAsia"/>
          <w:highlight w:val="none"/>
          <w:vertAlign w:val="baseline"/>
          <w:lang w:val="en-US" w:eastAsia="zh-CN"/>
        </w:rPr>
        <w:t>，</w:t>
      </w:r>
      <w:r>
        <w:rPr>
          <w:rFonts w:hint="eastAsia"/>
          <w:highlight w:val="none"/>
          <w:lang w:val="en-US" w:eastAsia="zh-CN"/>
        </w:rPr>
        <w:t>三级沉淀池规格为8×5×0.8m，容积为32m</w:t>
      </w:r>
      <w:r>
        <w:rPr>
          <w:rFonts w:hint="eastAsia"/>
          <w:highlight w:val="none"/>
          <w:vertAlign w:val="superscript"/>
          <w:lang w:val="en-US" w:eastAsia="zh-CN"/>
        </w:rPr>
        <w:t>3</w:t>
      </w:r>
      <w:r>
        <w:rPr>
          <w:rFonts w:hint="eastAsia"/>
          <w:highlight w:val="none"/>
          <w:vertAlign w:val="baseline"/>
          <w:lang w:val="en-US" w:eastAsia="zh-CN"/>
        </w:rPr>
        <w:t>，三级沉淀的池总容积为60m</w:t>
      </w:r>
      <w:r>
        <w:rPr>
          <w:rFonts w:hint="eastAsia"/>
          <w:highlight w:val="none"/>
          <w:vertAlign w:val="superscript"/>
          <w:lang w:val="en-US" w:eastAsia="zh-CN"/>
        </w:rPr>
        <w:t>3</w:t>
      </w:r>
      <w:r>
        <w:rPr>
          <w:rFonts w:hint="eastAsia"/>
          <w:highlight w:val="none"/>
          <w:lang w:val="en-US" w:eastAsia="zh-CN"/>
        </w:rPr>
        <w:t>；保洁废水沉淀池规格为8×4×0.5m，容积为16m</w:t>
      </w:r>
      <w:r>
        <w:rPr>
          <w:rFonts w:hint="eastAsia"/>
          <w:highlight w:val="none"/>
          <w:vertAlign w:val="superscript"/>
          <w:lang w:val="en-US" w:eastAsia="zh-CN"/>
        </w:rPr>
        <w:t>3</w:t>
      </w:r>
      <w:r>
        <w:rPr>
          <w:rFonts w:hint="eastAsia"/>
          <w:highlight w:val="none"/>
          <w:vertAlign w:val="baseline"/>
          <w:lang w:val="en-US" w:eastAsia="zh-CN"/>
        </w:rPr>
        <w:t>。</w:t>
      </w: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bidi w:val="0"/>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drawing>
                <wp:inline distT="0" distB="0" distL="114300" distR="114300">
                  <wp:extent cx="2506980" cy="1880235"/>
                  <wp:effectExtent l="12700" t="12700" r="13970" b="31115"/>
                  <wp:docPr id="27" name="图片 27" descr="一二级沉淀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一二级沉淀池"/>
                          <pic:cNvPicPr>
                            <a:picLocks noChangeAspect="1"/>
                          </pic:cNvPicPr>
                        </pic:nvPicPr>
                        <pic:blipFill>
                          <a:blip r:embed="rId14"/>
                          <a:stretch>
                            <a:fillRect/>
                          </a:stretch>
                        </pic:blipFill>
                        <pic:spPr>
                          <a:xfrm>
                            <a:off x="0" y="0"/>
                            <a:ext cx="2506980" cy="1880235"/>
                          </a:xfrm>
                          <a:prstGeom prst="rect">
                            <a:avLst/>
                          </a:prstGeom>
                          <a:ln w="12700" cmpd="sng">
                            <a:solidFill>
                              <a:schemeClr val="tx1"/>
                            </a:solidFill>
                            <a:prstDash val="solid"/>
                          </a:ln>
                        </pic:spPr>
                      </pic:pic>
                    </a:graphicData>
                  </a:graphic>
                </wp:inline>
              </w:drawing>
            </w:r>
          </w:p>
        </w:tc>
        <w:tc>
          <w:tcPr>
            <w:tcW w:w="4261" w:type="dxa"/>
            <w:vAlign w:val="center"/>
          </w:tcPr>
          <w:p>
            <w:pPr>
              <w:bidi w:val="0"/>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drawing>
                <wp:inline distT="0" distB="0" distL="114300" distR="114300">
                  <wp:extent cx="2536190" cy="1901825"/>
                  <wp:effectExtent l="12700" t="12700" r="22860" b="2857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5"/>
                          <a:stretch>
                            <a:fillRect/>
                          </a:stretch>
                        </pic:blipFill>
                        <pic:spPr>
                          <a:xfrm>
                            <a:off x="0" y="0"/>
                            <a:ext cx="2536190" cy="190182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bidi w:val="0"/>
              <w:jc w:val="center"/>
              <w:rPr>
                <w:rFonts w:hint="default" w:ascii="Times New Roman" w:hAnsi="Times New Roman" w:eastAsia="楷体" w:cs="Times New Roman"/>
                <w:sz w:val="21"/>
                <w:szCs w:val="21"/>
                <w:highlight w:val="none"/>
                <w:lang w:val="en-US" w:eastAsia="zh-CN"/>
              </w:rPr>
            </w:pPr>
            <w:r>
              <w:rPr>
                <w:rFonts w:hint="default" w:ascii="Times New Roman" w:hAnsi="Times New Roman" w:cs="Times New Roman"/>
                <w:b/>
                <w:bCs/>
                <w:highlight w:val="none"/>
                <w:lang w:val="en-US" w:eastAsia="zh-CN"/>
              </w:rPr>
              <w:t>图4.1-</w:t>
            </w:r>
            <w:r>
              <w:rPr>
                <w:rFonts w:hint="eastAsia" w:ascii="Times New Roman" w:hAnsi="Times New Roman" w:cs="Times New Roman"/>
                <w:b/>
                <w:bCs/>
                <w:highlight w:val="none"/>
                <w:lang w:val="en-US" w:eastAsia="zh-CN"/>
              </w:rPr>
              <w:t>1</w:t>
            </w:r>
            <w:r>
              <w:rPr>
                <w:rFonts w:hint="default" w:ascii="Times New Roman" w:hAnsi="Times New Roman" w:cs="Times New Roman"/>
                <w:b/>
                <w:bCs/>
                <w:highlight w:val="none"/>
                <w:lang w:val="en-US" w:eastAsia="zh-CN"/>
              </w:rPr>
              <w:t xml:space="preserve">    </w:t>
            </w:r>
            <w:r>
              <w:rPr>
                <w:rFonts w:hint="eastAsia" w:ascii="Times New Roman" w:hAnsi="Times New Roman" w:cs="Times New Roman"/>
                <w:b/>
                <w:bCs/>
                <w:highlight w:val="none"/>
                <w:lang w:val="en-US" w:eastAsia="zh-CN"/>
              </w:rPr>
              <w:t>一级、二级沉淀池</w:t>
            </w:r>
          </w:p>
        </w:tc>
        <w:tc>
          <w:tcPr>
            <w:tcW w:w="4261" w:type="dxa"/>
            <w:vAlign w:val="center"/>
          </w:tcPr>
          <w:p>
            <w:pPr>
              <w:bidi w:val="0"/>
              <w:jc w:val="center"/>
              <w:rPr>
                <w:rFonts w:hint="default" w:ascii="Times New Roman" w:hAnsi="Times New Roman" w:eastAsia="楷体" w:cs="Times New Roman"/>
                <w:sz w:val="21"/>
                <w:szCs w:val="21"/>
                <w:highlight w:val="none"/>
                <w:lang w:val="en-US" w:eastAsia="zh-CN"/>
              </w:rPr>
            </w:pPr>
            <w:r>
              <w:rPr>
                <w:rFonts w:hint="default" w:ascii="Times New Roman" w:hAnsi="Times New Roman" w:cs="Times New Roman"/>
                <w:b/>
                <w:bCs/>
                <w:highlight w:val="none"/>
                <w:lang w:val="en-US" w:eastAsia="zh-CN"/>
              </w:rPr>
              <w:t>图4.1-</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lang w:val="en-US" w:eastAsia="zh-CN"/>
              </w:rPr>
              <w:t xml:space="preserve">   </w:t>
            </w:r>
            <w:r>
              <w:rPr>
                <w:rFonts w:hint="eastAsia" w:ascii="Times New Roman" w:hAnsi="Times New Roman" w:cs="Times New Roman"/>
                <w:b/>
                <w:bCs/>
                <w:highlight w:val="none"/>
                <w:lang w:val="en-US" w:eastAsia="zh-CN"/>
              </w:rPr>
              <w:t xml:space="preserve"> 三级沉淀池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bidi w:val="0"/>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drawing>
                <wp:inline distT="0" distB="0" distL="114300" distR="114300">
                  <wp:extent cx="2535555" cy="1901825"/>
                  <wp:effectExtent l="12700" t="12700" r="23495" b="2857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6"/>
                          <a:stretch>
                            <a:fillRect/>
                          </a:stretch>
                        </pic:blipFill>
                        <pic:spPr>
                          <a:xfrm>
                            <a:off x="0" y="0"/>
                            <a:ext cx="2535555" cy="1901825"/>
                          </a:xfrm>
                          <a:prstGeom prst="rect">
                            <a:avLst/>
                          </a:prstGeom>
                          <a:ln w="12700">
                            <a:solidFill>
                              <a:schemeClr val="tx1"/>
                            </a:solidFill>
                          </a:ln>
                        </pic:spPr>
                      </pic:pic>
                    </a:graphicData>
                  </a:graphic>
                </wp:inline>
              </w:drawing>
            </w:r>
          </w:p>
        </w:tc>
        <w:tc>
          <w:tcPr>
            <w:tcW w:w="4261" w:type="dxa"/>
            <w:vAlign w:val="center"/>
          </w:tcPr>
          <w:p>
            <w:pPr>
              <w:bidi w:val="0"/>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val="en-US" w:eastAsia="zh-CN"/>
              </w:rPr>
              <w:drawing>
                <wp:inline distT="0" distB="0" distL="114300" distR="114300">
                  <wp:extent cx="2564765" cy="1809750"/>
                  <wp:effectExtent l="12700" t="12700" r="13335" b="25400"/>
                  <wp:docPr id="26" name="图片 26" descr="砂石分离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砂石分离机"/>
                          <pic:cNvPicPr>
                            <a:picLocks noChangeAspect="1"/>
                          </pic:cNvPicPr>
                        </pic:nvPicPr>
                        <pic:blipFill>
                          <a:blip r:embed="rId17"/>
                          <a:stretch>
                            <a:fillRect/>
                          </a:stretch>
                        </pic:blipFill>
                        <pic:spPr>
                          <a:xfrm>
                            <a:off x="0" y="0"/>
                            <a:ext cx="2564765" cy="1809750"/>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8" w:hRule="atLeast"/>
        </w:trPr>
        <w:tc>
          <w:tcPr>
            <w:tcW w:w="4261" w:type="dxa"/>
            <w:vAlign w:val="center"/>
          </w:tcPr>
          <w:p>
            <w:pPr>
              <w:bidi w:val="0"/>
              <w:jc w:val="center"/>
              <w:rPr>
                <w:rFonts w:hint="default" w:ascii="Times New Roman" w:hAnsi="Times New Roman" w:eastAsia="楷体" w:cs="Times New Roman"/>
                <w:sz w:val="21"/>
                <w:szCs w:val="21"/>
                <w:highlight w:val="none"/>
                <w:lang w:val="en-US" w:eastAsia="zh-CN"/>
              </w:rPr>
            </w:pPr>
            <w:r>
              <w:rPr>
                <w:rFonts w:hint="default" w:ascii="Times New Roman" w:hAnsi="Times New Roman" w:cs="Times New Roman"/>
                <w:b/>
                <w:bCs/>
                <w:highlight w:val="none"/>
                <w:lang w:val="en-US" w:eastAsia="zh-CN"/>
              </w:rPr>
              <w:t>图4.1-</w:t>
            </w: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 xml:space="preserve">    </w:t>
            </w:r>
            <w:r>
              <w:rPr>
                <w:rFonts w:hint="eastAsia" w:ascii="Times New Roman" w:hAnsi="Times New Roman" w:cs="Times New Roman"/>
                <w:b/>
                <w:bCs/>
                <w:highlight w:val="none"/>
                <w:lang w:val="en-US" w:eastAsia="zh-CN"/>
              </w:rPr>
              <w:t>保洁废水沉淀池</w:t>
            </w:r>
          </w:p>
        </w:tc>
        <w:tc>
          <w:tcPr>
            <w:tcW w:w="4261" w:type="dxa"/>
            <w:vAlign w:val="center"/>
          </w:tcPr>
          <w:p>
            <w:pPr>
              <w:bidi w:val="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图4.1-</w:t>
            </w:r>
            <w:r>
              <w:rPr>
                <w:rFonts w:hint="eastAsia" w:ascii="Times New Roman" w:hAnsi="Times New Roman" w:cs="Times New Roman"/>
                <w:b/>
                <w:bCs/>
                <w:highlight w:val="none"/>
                <w:lang w:val="en-US" w:eastAsia="zh-CN"/>
              </w:rPr>
              <w:t>4</w:t>
            </w:r>
            <w:r>
              <w:rPr>
                <w:rFonts w:hint="default" w:ascii="Times New Roman" w:hAnsi="Times New Roman" w:cs="Times New Roman"/>
                <w:b/>
                <w:bCs/>
                <w:highlight w:val="none"/>
                <w:lang w:val="en-US" w:eastAsia="zh-CN"/>
              </w:rPr>
              <w:t xml:space="preserve">    </w:t>
            </w:r>
            <w:r>
              <w:rPr>
                <w:rFonts w:hint="eastAsia" w:ascii="Times New Roman" w:hAnsi="Times New Roman" w:cs="Times New Roman"/>
                <w:b/>
                <w:bCs/>
                <w:highlight w:val="none"/>
                <w:lang w:val="en-US" w:eastAsia="zh-CN"/>
              </w:rPr>
              <w:t>砂石分离机</w:t>
            </w:r>
          </w:p>
        </w:tc>
      </w:tr>
    </w:tbl>
    <w:p>
      <w:pPr>
        <w:pStyle w:val="13"/>
        <w:bidi w:val="0"/>
        <w:rPr>
          <w:rFonts w:hint="eastAsia"/>
          <w:highlight w:val="green"/>
          <w:lang w:val="en-US" w:eastAsia="zh-CN"/>
        </w:rPr>
      </w:pPr>
      <w:r>
        <w:rPr>
          <w:rFonts w:hint="eastAsia"/>
          <w:highlight w:val="none"/>
          <w:lang w:val="en-US" w:eastAsia="zh-CN"/>
        </w:rPr>
        <w:t>表4.1-1   全厂废水种类及治理设施一览表</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91"/>
        <w:gridCol w:w="1000"/>
        <w:gridCol w:w="1165"/>
        <w:gridCol w:w="998"/>
        <w:gridCol w:w="1052"/>
        <w:gridCol w:w="1546"/>
        <w:gridCol w:w="1129"/>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trPr>
        <w:tc>
          <w:tcPr>
            <w:tcW w:w="691"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废水类别</w:t>
            </w:r>
          </w:p>
        </w:tc>
        <w:tc>
          <w:tcPr>
            <w:tcW w:w="1000"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主要污染物</w:t>
            </w:r>
          </w:p>
        </w:tc>
        <w:tc>
          <w:tcPr>
            <w:tcW w:w="1165"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排放浓度</w:t>
            </w:r>
          </w:p>
        </w:tc>
        <w:tc>
          <w:tcPr>
            <w:tcW w:w="998"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年产生量</w:t>
            </w:r>
          </w:p>
        </w:tc>
        <w:tc>
          <w:tcPr>
            <w:tcW w:w="1052"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处理</w:t>
            </w:r>
          </w:p>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方式</w:t>
            </w:r>
          </w:p>
        </w:tc>
        <w:tc>
          <w:tcPr>
            <w:tcW w:w="1546"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治理设施参数</w:t>
            </w:r>
          </w:p>
        </w:tc>
        <w:tc>
          <w:tcPr>
            <w:tcW w:w="1129"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排放去向</w:t>
            </w:r>
          </w:p>
        </w:tc>
        <w:tc>
          <w:tcPr>
            <w:tcW w:w="941"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排放</w:t>
            </w:r>
          </w:p>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207" w:hRule="atLeast"/>
        </w:trPr>
        <w:tc>
          <w:tcPr>
            <w:tcW w:w="691" w:type="dxa"/>
            <w:vMerge w:val="restart"/>
            <w:vAlign w:val="center"/>
          </w:tcPr>
          <w:p>
            <w:pPr>
              <w:bidi w:val="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设备冲洗废水</w:t>
            </w:r>
          </w:p>
        </w:tc>
        <w:tc>
          <w:tcPr>
            <w:tcW w:w="1000" w:type="dxa"/>
            <w:vAlign w:val="center"/>
          </w:tcPr>
          <w:p>
            <w:pPr>
              <w:bidi w:val="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lang w:val="en-US" w:eastAsia="zh-CN"/>
              </w:rPr>
              <w:t>SS</w:t>
            </w:r>
          </w:p>
        </w:tc>
        <w:tc>
          <w:tcPr>
            <w:tcW w:w="1165" w:type="dxa"/>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750</w:t>
            </w:r>
            <w:r>
              <w:rPr>
                <w:rFonts w:hint="default" w:ascii="Times New Roman" w:hAnsi="Times New Roman" w:eastAsia="宋体" w:cs="Times New Roman"/>
                <w:color w:val="auto"/>
                <w:sz w:val="21"/>
                <w:szCs w:val="21"/>
              </w:rPr>
              <w:t>mg/L</w:t>
            </w:r>
          </w:p>
        </w:tc>
        <w:tc>
          <w:tcPr>
            <w:tcW w:w="998" w:type="dxa"/>
            <w:vMerge w:val="restart"/>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3640</w:t>
            </w:r>
            <w:r>
              <w:rPr>
                <w:rFonts w:hint="default" w:ascii="Times New Roman" w:hAnsi="Times New Roman" w:eastAsia="宋体" w:cs="Times New Roman"/>
                <w:b w:val="0"/>
                <w:bCs w:val="0"/>
                <w:sz w:val="21"/>
                <w:szCs w:val="21"/>
                <w:lang w:eastAsia="zh-CN"/>
              </w:rPr>
              <w:t>t/a</w:t>
            </w:r>
          </w:p>
        </w:tc>
        <w:tc>
          <w:tcPr>
            <w:tcW w:w="1052" w:type="dxa"/>
            <w:vMerge w:val="restart"/>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eastAsia="zh-CN"/>
              </w:rPr>
              <w:t>砂石分离机</w:t>
            </w:r>
            <w:r>
              <w:rPr>
                <w:rFonts w:hint="eastAsia" w:ascii="Times New Roman" w:hAnsi="Times New Roman" w:eastAsia="宋体" w:cs="Times New Roman"/>
                <w:b w:val="0"/>
                <w:bCs w:val="0"/>
                <w:sz w:val="21"/>
                <w:szCs w:val="21"/>
                <w:lang w:val="en-US" w:eastAsia="zh-CN"/>
              </w:rPr>
              <w:t>+三级沉淀</w:t>
            </w:r>
          </w:p>
        </w:tc>
        <w:tc>
          <w:tcPr>
            <w:tcW w:w="1546" w:type="dxa"/>
            <w:vMerge w:val="restart"/>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1台</w:t>
            </w:r>
            <w:r>
              <w:rPr>
                <w:rFonts w:hint="eastAsia" w:ascii="Times New Roman" w:hAnsi="Times New Roman" w:eastAsia="宋体" w:cs="Times New Roman"/>
                <w:b w:val="0"/>
                <w:bCs w:val="0"/>
                <w:color w:val="auto"/>
                <w:sz w:val="21"/>
                <w:szCs w:val="21"/>
                <w:lang w:eastAsia="zh-CN"/>
              </w:rPr>
              <w:t>砂石分离机，</w:t>
            </w:r>
            <w:r>
              <w:rPr>
                <w:rFonts w:hint="eastAsia" w:ascii="Times New Roman" w:hAnsi="Times New Roman" w:eastAsia="宋体" w:cs="Times New Roman"/>
                <w:b w:val="0"/>
                <w:bCs w:val="0"/>
                <w:color w:val="auto"/>
                <w:sz w:val="21"/>
                <w:szCs w:val="21"/>
                <w:lang w:val="en-US" w:eastAsia="zh-CN"/>
              </w:rPr>
              <w:t>型号为龙祺ZSF-4型，筛分能力为40t/h；3个沉淀池（三级沉淀），总容积为60m</w:t>
            </w:r>
            <w:r>
              <w:rPr>
                <w:rFonts w:hint="eastAsia" w:ascii="Times New Roman" w:hAnsi="Times New Roman" w:eastAsia="宋体" w:cs="Times New Roman"/>
                <w:b w:val="0"/>
                <w:bCs w:val="0"/>
                <w:color w:val="auto"/>
                <w:sz w:val="21"/>
                <w:szCs w:val="21"/>
                <w:vertAlign w:val="superscript"/>
                <w:lang w:val="en-US" w:eastAsia="zh-CN"/>
              </w:rPr>
              <w:t>3</w:t>
            </w:r>
          </w:p>
        </w:tc>
        <w:tc>
          <w:tcPr>
            <w:tcW w:w="1129" w:type="dxa"/>
            <w:vMerge w:val="restart"/>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回用于</w:t>
            </w:r>
          </w:p>
          <w:p>
            <w:pPr>
              <w:bidi w:val="0"/>
              <w:jc w:val="center"/>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生产</w:t>
            </w:r>
          </w:p>
        </w:tc>
        <w:tc>
          <w:tcPr>
            <w:tcW w:w="941" w:type="dxa"/>
            <w:vMerge w:val="restart"/>
            <w:vAlign w:val="center"/>
          </w:tcPr>
          <w:p>
            <w:pPr>
              <w:bidi w:val="0"/>
              <w:jc w:val="center"/>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trPr>
        <w:tc>
          <w:tcPr>
            <w:tcW w:w="691" w:type="dxa"/>
            <w:vMerge w:val="continue"/>
            <w:vAlign w:val="center"/>
          </w:tcPr>
          <w:p>
            <w:pPr>
              <w:bidi w:val="0"/>
              <w:jc w:val="center"/>
              <w:rPr>
                <w:rFonts w:hint="eastAsia" w:ascii="Times New Roman" w:hAnsi="Times New Roman" w:eastAsia="宋体" w:cs="Times New Roman"/>
                <w:b w:val="0"/>
                <w:bCs w:val="0"/>
                <w:color w:val="auto"/>
                <w:sz w:val="21"/>
                <w:szCs w:val="21"/>
                <w:lang w:eastAsia="zh-CN"/>
              </w:rPr>
            </w:pPr>
          </w:p>
        </w:tc>
        <w:tc>
          <w:tcPr>
            <w:tcW w:w="1000"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1165" w:type="dxa"/>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w:t>
            </w:r>
            <w:r>
              <w:rPr>
                <w:rFonts w:hint="default" w:ascii="Times New Roman" w:hAnsi="Times New Roman" w:eastAsia="宋体" w:cs="Times New Roman"/>
                <w:color w:val="auto"/>
                <w:sz w:val="21"/>
                <w:szCs w:val="21"/>
              </w:rPr>
              <w:t>mg/L</w:t>
            </w:r>
          </w:p>
        </w:tc>
        <w:tc>
          <w:tcPr>
            <w:tcW w:w="998" w:type="dxa"/>
            <w:vMerge w:val="continue"/>
            <w:vAlign w:val="center"/>
          </w:tcPr>
          <w:p>
            <w:pPr>
              <w:bidi w:val="0"/>
              <w:jc w:val="center"/>
              <w:rPr>
                <w:rFonts w:hint="eastAsia" w:ascii="Times New Roman" w:hAnsi="Times New Roman" w:eastAsia="宋体" w:cs="Times New Roman"/>
                <w:b w:val="0"/>
                <w:bCs w:val="0"/>
                <w:color w:val="auto"/>
                <w:sz w:val="21"/>
                <w:szCs w:val="21"/>
                <w:lang w:val="en-US" w:eastAsia="zh-CN"/>
              </w:rPr>
            </w:pPr>
          </w:p>
        </w:tc>
        <w:tc>
          <w:tcPr>
            <w:tcW w:w="1052" w:type="dxa"/>
            <w:vMerge w:val="continue"/>
            <w:vAlign w:val="center"/>
          </w:tcPr>
          <w:p>
            <w:pPr>
              <w:bidi w:val="0"/>
              <w:jc w:val="center"/>
              <w:rPr>
                <w:rFonts w:hint="eastAsia" w:ascii="Times New Roman" w:hAnsi="Times New Roman" w:eastAsia="宋体" w:cs="Times New Roman"/>
                <w:b w:val="0"/>
                <w:bCs w:val="0"/>
                <w:sz w:val="21"/>
                <w:szCs w:val="21"/>
                <w:lang w:eastAsia="zh-CN"/>
              </w:rPr>
            </w:pPr>
          </w:p>
        </w:tc>
        <w:tc>
          <w:tcPr>
            <w:tcW w:w="1546" w:type="dxa"/>
            <w:vMerge w:val="continue"/>
            <w:vAlign w:val="center"/>
          </w:tcPr>
          <w:p>
            <w:pPr>
              <w:bidi w:val="0"/>
              <w:jc w:val="center"/>
              <w:rPr>
                <w:rFonts w:hint="eastAsia" w:ascii="Times New Roman" w:hAnsi="Times New Roman" w:eastAsia="宋体" w:cs="Times New Roman"/>
                <w:b w:val="0"/>
                <w:bCs w:val="0"/>
                <w:color w:val="auto"/>
                <w:sz w:val="21"/>
                <w:szCs w:val="21"/>
                <w:lang w:val="en-US" w:eastAsia="zh-CN"/>
              </w:rPr>
            </w:pPr>
          </w:p>
        </w:tc>
        <w:tc>
          <w:tcPr>
            <w:tcW w:w="1129" w:type="dxa"/>
            <w:vMerge w:val="continue"/>
            <w:vAlign w:val="center"/>
          </w:tcPr>
          <w:p>
            <w:pPr>
              <w:bidi w:val="0"/>
              <w:jc w:val="center"/>
              <w:rPr>
                <w:rFonts w:hint="eastAsia" w:ascii="Times New Roman" w:hAnsi="Times New Roman" w:eastAsia="宋体" w:cs="Times New Roman"/>
                <w:b w:val="0"/>
                <w:bCs w:val="0"/>
                <w:sz w:val="21"/>
                <w:szCs w:val="21"/>
                <w:lang w:eastAsia="zh-CN"/>
              </w:rPr>
            </w:pPr>
          </w:p>
        </w:tc>
        <w:tc>
          <w:tcPr>
            <w:tcW w:w="941" w:type="dxa"/>
            <w:vMerge w:val="continue"/>
            <w:vAlign w:val="center"/>
          </w:tcPr>
          <w:p>
            <w:pPr>
              <w:bidi w:val="0"/>
              <w:jc w:val="center"/>
              <w:rPr>
                <w:rFonts w:hint="eastAsia" w:ascii="Times New Roman" w:hAnsi="Times New Roman" w:eastAsia="宋体" w:cs="Times New Roman"/>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74" w:hRule="atLeast"/>
        </w:trPr>
        <w:tc>
          <w:tcPr>
            <w:tcW w:w="691" w:type="dxa"/>
            <w:vMerge w:val="restart"/>
            <w:vAlign w:val="center"/>
          </w:tcPr>
          <w:p>
            <w:pPr>
              <w:bidi w:val="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厂区保洁废水</w:t>
            </w:r>
          </w:p>
        </w:tc>
        <w:tc>
          <w:tcPr>
            <w:tcW w:w="1000"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1165" w:type="dxa"/>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600</w:t>
            </w:r>
            <w:r>
              <w:rPr>
                <w:rFonts w:hint="default" w:ascii="Times New Roman" w:hAnsi="Times New Roman" w:eastAsia="宋体" w:cs="Times New Roman"/>
                <w:color w:val="auto"/>
                <w:sz w:val="21"/>
                <w:szCs w:val="21"/>
              </w:rPr>
              <w:t>mg/L</w:t>
            </w:r>
          </w:p>
        </w:tc>
        <w:tc>
          <w:tcPr>
            <w:tcW w:w="998" w:type="dxa"/>
            <w:vMerge w:val="restart"/>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2121.6</w:t>
            </w:r>
            <w:r>
              <w:rPr>
                <w:rFonts w:hint="default" w:ascii="Times New Roman" w:hAnsi="Times New Roman" w:eastAsia="宋体" w:cs="Times New Roman"/>
                <w:b w:val="0"/>
                <w:bCs w:val="0"/>
                <w:sz w:val="21"/>
                <w:szCs w:val="21"/>
                <w:lang w:eastAsia="zh-CN"/>
              </w:rPr>
              <w:t>t/a</w:t>
            </w:r>
          </w:p>
        </w:tc>
        <w:tc>
          <w:tcPr>
            <w:tcW w:w="1052" w:type="dxa"/>
            <w:vMerge w:val="restart"/>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沉淀池</w:t>
            </w:r>
          </w:p>
        </w:tc>
        <w:tc>
          <w:tcPr>
            <w:tcW w:w="1546" w:type="dxa"/>
            <w:vMerge w:val="restart"/>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1个保洁废水沉淀池，容积为16m</w:t>
            </w:r>
            <w:r>
              <w:rPr>
                <w:rFonts w:hint="eastAsia" w:ascii="Times New Roman" w:hAnsi="Times New Roman" w:eastAsia="宋体" w:cs="Times New Roman"/>
                <w:b w:val="0"/>
                <w:bCs w:val="0"/>
                <w:color w:val="auto"/>
                <w:sz w:val="21"/>
                <w:szCs w:val="21"/>
                <w:vertAlign w:val="superscript"/>
                <w:lang w:val="en-US" w:eastAsia="zh-CN"/>
              </w:rPr>
              <w:t>3</w:t>
            </w:r>
          </w:p>
        </w:tc>
        <w:tc>
          <w:tcPr>
            <w:tcW w:w="1129" w:type="dxa"/>
            <w:vMerge w:val="restart"/>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回用于</w:t>
            </w:r>
          </w:p>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厂区保洁</w:t>
            </w:r>
          </w:p>
        </w:tc>
        <w:tc>
          <w:tcPr>
            <w:tcW w:w="941" w:type="dxa"/>
            <w:vMerge w:val="restart"/>
            <w:vAlign w:val="center"/>
          </w:tcPr>
          <w:p>
            <w:pPr>
              <w:bidi w:val="0"/>
              <w:jc w:val="center"/>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trPr>
        <w:tc>
          <w:tcPr>
            <w:tcW w:w="691" w:type="dxa"/>
            <w:vMerge w:val="continue"/>
            <w:vAlign w:val="center"/>
          </w:tcPr>
          <w:p>
            <w:pPr>
              <w:bidi w:val="0"/>
              <w:jc w:val="center"/>
              <w:rPr>
                <w:rFonts w:hint="eastAsia" w:ascii="Times New Roman" w:hAnsi="Times New Roman" w:eastAsia="宋体" w:cs="Times New Roman"/>
                <w:b w:val="0"/>
                <w:bCs w:val="0"/>
                <w:color w:val="auto"/>
                <w:sz w:val="21"/>
                <w:szCs w:val="21"/>
                <w:lang w:eastAsia="zh-CN"/>
              </w:rPr>
            </w:pPr>
          </w:p>
        </w:tc>
        <w:tc>
          <w:tcPr>
            <w:tcW w:w="1000"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1165" w:type="dxa"/>
            <w:vAlign w:val="center"/>
          </w:tcPr>
          <w:p>
            <w:pPr>
              <w:bidi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250</w:t>
            </w:r>
            <w:r>
              <w:rPr>
                <w:rFonts w:hint="default" w:ascii="Times New Roman" w:hAnsi="Times New Roman" w:eastAsia="宋体" w:cs="Times New Roman"/>
                <w:color w:val="auto"/>
                <w:sz w:val="21"/>
                <w:szCs w:val="21"/>
              </w:rPr>
              <w:t>mg/L</w:t>
            </w:r>
          </w:p>
        </w:tc>
        <w:tc>
          <w:tcPr>
            <w:tcW w:w="998" w:type="dxa"/>
            <w:vMerge w:val="continue"/>
            <w:vAlign w:val="center"/>
          </w:tcPr>
          <w:p>
            <w:pPr>
              <w:bidi w:val="0"/>
              <w:jc w:val="center"/>
              <w:rPr>
                <w:rFonts w:hint="eastAsia" w:ascii="Times New Roman" w:hAnsi="Times New Roman" w:eastAsia="宋体" w:cs="Times New Roman"/>
                <w:b w:val="0"/>
                <w:bCs w:val="0"/>
                <w:sz w:val="21"/>
                <w:szCs w:val="21"/>
                <w:lang w:val="en-US" w:eastAsia="zh-CN"/>
              </w:rPr>
            </w:pPr>
          </w:p>
        </w:tc>
        <w:tc>
          <w:tcPr>
            <w:tcW w:w="1052" w:type="dxa"/>
            <w:vMerge w:val="continue"/>
            <w:vAlign w:val="center"/>
          </w:tcPr>
          <w:p>
            <w:pPr>
              <w:bidi w:val="0"/>
              <w:jc w:val="center"/>
              <w:rPr>
                <w:rFonts w:hint="eastAsia" w:ascii="Times New Roman" w:hAnsi="Times New Roman" w:eastAsia="宋体" w:cs="Times New Roman"/>
                <w:b w:val="0"/>
                <w:bCs w:val="0"/>
                <w:sz w:val="21"/>
                <w:szCs w:val="21"/>
                <w:lang w:eastAsia="zh-CN"/>
              </w:rPr>
            </w:pPr>
          </w:p>
        </w:tc>
        <w:tc>
          <w:tcPr>
            <w:tcW w:w="1546" w:type="dxa"/>
            <w:vMerge w:val="continue"/>
            <w:vAlign w:val="center"/>
          </w:tcPr>
          <w:p>
            <w:pPr>
              <w:bidi w:val="0"/>
              <w:jc w:val="center"/>
              <w:rPr>
                <w:rFonts w:hint="eastAsia" w:ascii="Times New Roman" w:hAnsi="Times New Roman" w:eastAsia="宋体" w:cs="Times New Roman"/>
                <w:b w:val="0"/>
                <w:bCs w:val="0"/>
                <w:sz w:val="21"/>
                <w:szCs w:val="21"/>
                <w:lang w:val="en-US" w:eastAsia="zh-CN"/>
              </w:rPr>
            </w:pPr>
          </w:p>
        </w:tc>
        <w:tc>
          <w:tcPr>
            <w:tcW w:w="1129" w:type="dxa"/>
            <w:vMerge w:val="continue"/>
            <w:vAlign w:val="center"/>
          </w:tcPr>
          <w:p>
            <w:pPr>
              <w:bidi w:val="0"/>
              <w:jc w:val="center"/>
              <w:rPr>
                <w:rFonts w:hint="eastAsia" w:ascii="Times New Roman" w:hAnsi="Times New Roman" w:eastAsia="宋体" w:cs="Times New Roman"/>
                <w:b w:val="0"/>
                <w:bCs w:val="0"/>
                <w:sz w:val="21"/>
                <w:szCs w:val="21"/>
                <w:lang w:eastAsia="zh-CN"/>
              </w:rPr>
            </w:pPr>
          </w:p>
        </w:tc>
        <w:tc>
          <w:tcPr>
            <w:tcW w:w="941" w:type="dxa"/>
            <w:vMerge w:val="continue"/>
            <w:vAlign w:val="center"/>
          </w:tcPr>
          <w:p>
            <w:pPr>
              <w:bidi w:val="0"/>
              <w:jc w:val="center"/>
              <w:rPr>
                <w:rFonts w:hint="eastAsia" w:ascii="Times New Roman" w:hAnsi="Times New Roman" w:eastAsia="宋体" w:cs="Times New Roman"/>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trPr>
        <w:tc>
          <w:tcPr>
            <w:tcW w:w="691" w:type="dxa"/>
            <w:vMerge w:val="restart"/>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生活污水</w:t>
            </w:r>
          </w:p>
        </w:tc>
        <w:tc>
          <w:tcPr>
            <w:tcW w:w="10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COD</w:t>
            </w:r>
          </w:p>
        </w:tc>
        <w:tc>
          <w:tcPr>
            <w:tcW w:w="1165"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213</w:t>
            </w:r>
            <w:r>
              <w:rPr>
                <w:rFonts w:hint="default" w:ascii="Times New Roman" w:hAnsi="Times New Roman" w:eastAsia="宋体" w:cs="Times New Roman"/>
                <w:sz w:val="21"/>
                <w:szCs w:val="21"/>
              </w:rPr>
              <w:t>mg/L</w:t>
            </w:r>
          </w:p>
        </w:tc>
        <w:tc>
          <w:tcPr>
            <w:tcW w:w="998" w:type="dxa"/>
            <w:vMerge w:val="restart"/>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702</w:t>
            </w:r>
            <w:r>
              <w:rPr>
                <w:rFonts w:hint="default" w:ascii="Times New Roman" w:hAnsi="Times New Roman" w:eastAsia="宋体" w:cs="Times New Roman"/>
                <w:b w:val="0"/>
                <w:bCs w:val="0"/>
                <w:sz w:val="21"/>
                <w:szCs w:val="21"/>
                <w:lang w:eastAsia="zh-CN"/>
              </w:rPr>
              <w:t>t/a</w:t>
            </w:r>
          </w:p>
        </w:tc>
        <w:tc>
          <w:tcPr>
            <w:tcW w:w="1052" w:type="dxa"/>
            <w:vMerge w:val="restart"/>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化粪池</w:t>
            </w:r>
          </w:p>
        </w:tc>
        <w:tc>
          <w:tcPr>
            <w:tcW w:w="1546" w:type="dxa"/>
            <w:vMerge w:val="restart"/>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val="0"/>
                <w:sz w:val="21"/>
                <w:szCs w:val="21"/>
                <w:lang w:val="en-US" w:eastAsia="zh-CN"/>
              </w:rPr>
              <w:t>1个，</w:t>
            </w:r>
            <w:r>
              <w:rPr>
                <w:rFonts w:hint="default" w:ascii="Times New Roman" w:hAnsi="Times New Roman" w:eastAsia="宋体" w:cs="Times New Roman"/>
                <w:sz w:val="21"/>
                <w:szCs w:val="21"/>
                <w:lang w:eastAsia="zh-CN"/>
              </w:rPr>
              <w:t>位于项目区</w:t>
            </w:r>
            <w:r>
              <w:rPr>
                <w:rFonts w:hint="eastAsia" w:ascii="Times New Roman" w:hAnsi="Times New Roman" w:eastAsia="宋体" w:cs="Times New Roman"/>
                <w:sz w:val="21"/>
                <w:szCs w:val="21"/>
                <w:lang w:eastAsia="zh-CN"/>
              </w:rPr>
              <w:t>西</w:t>
            </w:r>
            <w:r>
              <w:rPr>
                <w:rFonts w:hint="default" w:ascii="Times New Roman" w:hAnsi="Times New Roman" w:eastAsia="宋体" w:cs="Times New Roman"/>
                <w:color w:val="auto"/>
                <w:sz w:val="21"/>
                <w:szCs w:val="21"/>
                <w:lang w:val="en-US" w:eastAsia="zh-CN"/>
              </w:rPr>
              <w:t>侧</w:t>
            </w:r>
            <w:r>
              <w:rPr>
                <w:rFonts w:hint="default" w:ascii="Times New Roman" w:hAnsi="Times New Roman" w:eastAsia="宋体" w:cs="Times New Roman"/>
                <w:color w:val="auto"/>
                <w:sz w:val="21"/>
                <w:szCs w:val="21"/>
                <w:lang w:eastAsia="zh-CN"/>
              </w:rPr>
              <w:t>，尺寸为1.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lang w:eastAsia="zh-CN"/>
              </w:rPr>
              <w:t>m</w:t>
            </w:r>
          </w:p>
        </w:tc>
        <w:tc>
          <w:tcPr>
            <w:tcW w:w="1129" w:type="dxa"/>
            <w:vMerge w:val="restart"/>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蔡田铺污水处理厂</w:t>
            </w:r>
          </w:p>
        </w:tc>
        <w:tc>
          <w:tcPr>
            <w:tcW w:w="941" w:type="dxa"/>
            <w:vMerge w:val="restart"/>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凤庆路</w:t>
            </w:r>
            <w:r>
              <w:rPr>
                <w:rFonts w:hint="default" w:ascii="Times New Roman" w:hAnsi="Times New Roman" w:eastAsia="宋体" w:cs="Times New Roman"/>
                <w:sz w:val="21"/>
                <w:szCs w:val="21"/>
                <w:lang w:eastAsia="zh-CN"/>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trPr>
        <w:tc>
          <w:tcPr>
            <w:tcW w:w="691" w:type="dxa"/>
            <w:vMerge w:val="continue"/>
            <w:vAlign w:val="center"/>
          </w:tcPr>
          <w:p>
            <w:pPr>
              <w:bidi w:val="0"/>
              <w:jc w:val="center"/>
              <w:rPr>
                <w:rFonts w:hint="default" w:ascii="Times New Roman" w:hAnsi="Times New Roman" w:eastAsia="宋体" w:cs="Times New Roman"/>
                <w:sz w:val="21"/>
                <w:szCs w:val="21"/>
              </w:rPr>
            </w:pPr>
          </w:p>
        </w:tc>
        <w:tc>
          <w:tcPr>
            <w:tcW w:w="10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BOD</w:t>
            </w:r>
            <w:r>
              <w:rPr>
                <w:rFonts w:hint="eastAsia" w:ascii="Times New Roman" w:hAnsi="Times New Roman" w:eastAsia="宋体" w:cs="Times New Roman"/>
                <w:sz w:val="21"/>
                <w:szCs w:val="21"/>
                <w:vertAlign w:val="subscript"/>
                <w:lang w:val="en-US" w:eastAsia="zh-CN"/>
              </w:rPr>
              <w:t>5</w:t>
            </w:r>
          </w:p>
        </w:tc>
        <w:tc>
          <w:tcPr>
            <w:tcW w:w="116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108</w:t>
            </w:r>
            <w:r>
              <w:rPr>
                <w:rFonts w:hint="default" w:ascii="Times New Roman" w:hAnsi="Times New Roman" w:eastAsia="宋体" w:cs="Times New Roman"/>
                <w:sz w:val="21"/>
                <w:szCs w:val="21"/>
              </w:rPr>
              <w:t>mg/L</w:t>
            </w:r>
          </w:p>
        </w:tc>
        <w:tc>
          <w:tcPr>
            <w:tcW w:w="998" w:type="dxa"/>
            <w:vMerge w:val="continue"/>
            <w:vAlign w:val="center"/>
          </w:tcPr>
          <w:p>
            <w:pPr>
              <w:bidi w:val="0"/>
              <w:jc w:val="center"/>
              <w:rPr>
                <w:rFonts w:hint="default" w:ascii="Times New Roman" w:hAnsi="Times New Roman" w:eastAsia="宋体" w:cs="Times New Roman"/>
                <w:sz w:val="21"/>
                <w:szCs w:val="21"/>
                <w:lang w:eastAsia="zh-CN"/>
              </w:rPr>
            </w:pPr>
          </w:p>
        </w:tc>
        <w:tc>
          <w:tcPr>
            <w:tcW w:w="1052" w:type="dxa"/>
            <w:vMerge w:val="continue"/>
            <w:vAlign w:val="center"/>
          </w:tcPr>
          <w:p>
            <w:pPr>
              <w:bidi w:val="0"/>
              <w:jc w:val="center"/>
              <w:rPr>
                <w:rFonts w:hint="default" w:ascii="Times New Roman" w:hAnsi="Times New Roman" w:eastAsia="宋体" w:cs="Times New Roman"/>
                <w:sz w:val="21"/>
                <w:szCs w:val="21"/>
                <w:lang w:eastAsia="zh-CN"/>
              </w:rPr>
            </w:pPr>
          </w:p>
        </w:tc>
        <w:tc>
          <w:tcPr>
            <w:tcW w:w="1546" w:type="dxa"/>
            <w:vMerge w:val="continue"/>
            <w:vAlign w:val="center"/>
          </w:tcPr>
          <w:p>
            <w:pPr>
              <w:bidi w:val="0"/>
              <w:jc w:val="center"/>
              <w:rPr>
                <w:rFonts w:hint="default" w:ascii="Times New Roman" w:hAnsi="Times New Roman" w:eastAsia="宋体" w:cs="Times New Roman"/>
                <w:sz w:val="21"/>
                <w:szCs w:val="21"/>
                <w:lang w:eastAsia="zh-CN"/>
              </w:rPr>
            </w:pPr>
          </w:p>
        </w:tc>
        <w:tc>
          <w:tcPr>
            <w:tcW w:w="1129" w:type="dxa"/>
            <w:vMerge w:val="continue"/>
            <w:vAlign w:val="center"/>
          </w:tcPr>
          <w:p>
            <w:pPr>
              <w:bidi w:val="0"/>
              <w:jc w:val="center"/>
              <w:rPr>
                <w:rFonts w:hint="default" w:ascii="Times New Roman" w:hAnsi="Times New Roman" w:eastAsia="宋体" w:cs="Times New Roman"/>
                <w:sz w:val="21"/>
                <w:szCs w:val="21"/>
                <w:lang w:eastAsia="zh-CN"/>
              </w:rPr>
            </w:pPr>
          </w:p>
        </w:tc>
        <w:tc>
          <w:tcPr>
            <w:tcW w:w="941" w:type="dxa"/>
            <w:vMerge w:val="continue"/>
            <w:vAlign w:val="center"/>
          </w:tcPr>
          <w:p>
            <w:pPr>
              <w:bidi w:val="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trPr>
        <w:tc>
          <w:tcPr>
            <w:tcW w:w="691" w:type="dxa"/>
            <w:vMerge w:val="continue"/>
            <w:vAlign w:val="center"/>
          </w:tcPr>
          <w:p>
            <w:pPr>
              <w:bidi w:val="0"/>
              <w:jc w:val="center"/>
              <w:rPr>
                <w:rFonts w:hint="default" w:ascii="Times New Roman" w:hAnsi="Times New Roman" w:eastAsia="宋体" w:cs="Times New Roman"/>
                <w:sz w:val="21"/>
                <w:szCs w:val="21"/>
                <w:lang w:eastAsia="zh-CN"/>
              </w:rPr>
            </w:pPr>
          </w:p>
        </w:tc>
        <w:tc>
          <w:tcPr>
            <w:tcW w:w="10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SS</w:t>
            </w:r>
          </w:p>
        </w:tc>
        <w:tc>
          <w:tcPr>
            <w:tcW w:w="116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r>
              <w:rPr>
                <w:rFonts w:hint="default" w:ascii="Times New Roman" w:hAnsi="Times New Roman" w:eastAsia="宋体" w:cs="Times New Roman"/>
                <w:sz w:val="21"/>
                <w:szCs w:val="21"/>
              </w:rPr>
              <w:t>mg/L</w:t>
            </w:r>
          </w:p>
        </w:tc>
        <w:tc>
          <w:tcPr>
            <w:tcW w:w="998" w:type="dxa"/>
            <w:vMerge w:val="continue"/>
            <w:vAlign w:val="center"/>
          </w:tcPr>
          <w:p>
            <w:pPr>
              <w:bidi w:val="0"/>
              <w:jc w:val="center"/>
              <w:rPr>
                <w:rFonts w:hint="default" w:ascii="Times New Roman" w:hAnsi="Times New Roman" w:eastAsia="宋体" w:cs="Times New Roman"/>
                <w:sz w:val="21"/>
                <w:szCs w:val="21"/>
                <w:lang w:eastAsia="zh-CN"/>
              </w:rPr>
            </w:pPr>
          </w:p>
        </w:tc>
        <w:tc>
          <w:tcPr>
            <w:tcW w:w="1052" w:type="dxa"/>
            <w:vMerge w:val="continue"/>
            <w:vAlign w:val="center"/>
          </w:tcPr>
          <w:p>
            <w:pPr>
              <w:bidi w:val="0"/>
              <w:jc w:val="center"/>
              <w:rPr>
                <w:rFonts w:hint="default" w:ascii="Times New Roman" w:hAnsi="Times New Roman" w:eastAsia="宋体" w:cs="Times New Roman"/>
                <w:sz w:val="21"/>
                <w:szCs w:val="21"/>
                <w:lang w:eastAsia="zh-CN"/>
              </w:rPr>
            </w:pPr>
          </w:p>
        </w:tc>
        <w:tc>
          <w:tcPr>
            <w:tcW w:w="1546" w:type="dxa"/>
            <w:vMerge w:val="continue"/>
            <w:vAlign w:val="center"/>
          </w:tcPr>
          <w:p>
            <w:pPr>
              <w:bidi w:val="0"/>
              <w:jc w:val="center"/>
              <w:rPr>
                <w:rFonts w:hint="default" w:ascii="Times New Roman" w:hAnsi="Times New Roman" w:eastAsia="宋体" w:cs="Times New Roman"/>
                <w:sz w:val="21"/>
                <w:szCs w:val="21"/>
                <w:lang w:eastAsia="zh-CN"/>
              </w:rPr>
            </w:pPr>
          </w:p>
        </w:tc>
        <w:tc>
          <w:tcPr>
            <w:tcW w:w="1129" w:type="dxa"/>
            <w:vMerge w:val="continue"/>
            <w:vAlign w:val="center"/>
          </w:tcPr>
          <w:p>
            <w:pPr>
              <w:bidi w:val="0"/>
              <w:jc w:val="center"/>
              <w:rPr>
                <w:rFonts w:hint="default" w:ascii="Times New Roman" w:hAnsi="Times New Roman" w:eastAsia="宋体" w:cs="Times New Roman"/>
                <w:sz w:val="21"/>
                <w:szCs w:val="21"/>
                <w:lang w:eastAsia="zh-CN"/>
              </w:rPr>
            </w:pPr>
          </w:p>
        </w:tc>
        <w:tc>
          <w:tcPr>
            <w:tcW w:w="941" w:type="dxa"/>
            <w:vMerge w:val="continue"/>
            <w:vAlign w:val="center"/>
          </w:tcPr>
          <w:p>
            <w:pPr>
              <w:bidi w:val="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trPr>
        <w:tc>
          <w:tcPr>
            <w:tcW w:w="691" w:type="dxa"/>
            <w:vMerge w:val="continue"/>
            <w:vAlign w:val="center"/>
          </w:tcPr>
          <w:p>
            <w:pPr>
              <w:bidi w:val="0"/>
              <w:jc w:val="center"/>
              <w:rPr>
                <w:rFonts w:hint="default" w:ascii="Times New Roman" w:hAnsi="Times New Roman" w:eastAsia="宋体" w:cs="Times New Roman"/>
                <w:sz w:val="21"/>
                <w:szCs w:val="21"/>
                <w:lang w:eastAsia="zh-CN"/>
              </w:rPr>
            </w:pPr>
          </w:p>
        </w:tc>
        <w:tc>
          <w:tcPr>
            <w:tcW w:w="100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p>
        </w:tc>
        <w:tc>
          <w:tcPr>
            <w:tcW w:w="116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mg/L</w:t>
            </w:r>
          </w:p>
        </w:tc>
        <w:tc>
          <w:tcPr>
            <w:tcW w:w="998" w:type="dxa"/>
            <w:vMerge w:val="continue"/>
            <w:vAlign w:val="center"/>
          </w:tcPr>
          <w:p>
            <w:pPr>
              <w:bidi w:val="0"/>
              <w:jc w:val="center"/>
              <w:rPr>
                <w:rFonts w:hint="default" w:ascii="Times New Roman" w:hAnsi="Times New Roman" w:eastAsia="宋体" w:cs="Times New Roman"/>
                <w:sz w:val="21"/>
                <w:szCs w:val="21"/>
                <w:lang w:eastAsia="zh-CN"/>
              </w:rPr>
            </w:pPr>
          </w:p>
        </w:tc>
        <w:tc>
          <w:tcPr>
            <w:tcW w:w="1052" w:type="dxa"/>
            <w:vMerge w:val="continue"/>
            <w:vAlign w:val="center"/>
          </w:tcPr>
          <w:p>
            <w:pPr>
              <w:bidi w:val="0"/>
              <w:jc w:val="center"/>
              <w:rPr>
                <w:rFonts w:hint="default" w:ascii="Times New Roman" w:hAnsi="Times New Roman" w:eastAsia="宋体" w:cs="Times New Roman"/>
                <w:sz w:val="21"/>
                <w:szCs w:val="21"/>
                <w:lang w:eastAsia="zh-CN"/>
              </w:rPr>
            </w:pPr>
          </w:p>
        </w:tc>
        <w:tc>
          <w:tcPr>
            <w:tcW w:w="1546" w:type="dxa"/>
            <w:vMerge w:val="continue"/>
            <w:vAlign w:val="center"/>
          </w:tcPr>
          <w:p>
            <w:pPr>
              <w:bidi w:val="0"/>
              <w:jc w:val="center"/>
              <w:rPr>
                <w:rFonts w:hint="default" w:ascii="Times New Roman" w:hAnsi="Times New Roman" w:eastAsia="宋体" w:cs="Times New Roman"/>
                <w:sz w:val="21"/>
                <w:szCs w:val="21"/>
                <w:lang w:eastAsia="zh-CN"/>
              </w:rPr>
            </w:pPr>
          </w:p>
        </w:tc>
        <w:tc>
          <w:tcPr>
            <w:tcW w:w="1129" w:type="dxa"/>
            <w:vMerge w:val="continue"/>
            <w:vAlign w:val="center"/>
          </w:tcPr>
          <w:p>
            <w:pPr>
              <w:bidi w:val="0"/>
              <w:jc w:val="center"/>
              <w:rPr>
                <w:rFonts w:hint="default" w:ascii="Times New Roman" w:hAnsi="Times New Roman" w:eastAsia="宋体" w:cs="Times New Roman"/>
                <w:sz w:val="21"/>
                <w:szCs w:val="21"/>
                <w:lang w:eastAsia="zh-CN"/>
              </w:rPr>
            </w:pPr>
          </w:p>
        </w:tc>
        <w:tc>
          <w:tcPr>
            <w:tcW w:w="941" w:type="dxa"/>
            <w:vMerge w:val="continue"/>
            <w:vAlign w:val="center"/>
          </w:tcPr>
          <w:p>
            <w:pPr>
              <w:bidi w:val="0"/>
              <w:jc w:val="center"/>
              <w:rPr>
                <w:rFonts w:hint="default" w:ascii="Times New Roman" w:hAnsi="Times New Roman" w:eastAsia="宋体" w:cs="Times New Roman"/>
                <w:sz w:val="21"/>
                <w:szCs w:val="21"/>
                <w:lang w:eastAsia="zh-CN"/>
              </w:rPr>
            </w:pPr>
          </w:p>
        </w:tc>
      </w:tr>
    </w:tbl>
    <w:p>
      <w:pPr>
        <w:pStyle w:val="17"/>
        <w:bidi w:val="0"/>
        <w:rPr>
          <w:rFonts w:hint="eastAsia"/>
          <w:lang w:val="en-US" w:eastAsia="zh-CN"/>
        </w:rPr>
      </w:pPr>
      <w:r>
        <w:rPr>
          <w:rFonts w:hint="eastAsia"/>
          <w:lang w:val="en-US" w:eastAsia="zh-CN"/>
        </w:rPr>
        <w:t>4.1.2 废气</w:t>
      </w:r>
    </w:p>
    <w:p>
      <w:pPr>
        <w:pStyle w:val="9"/>
        <w:bidi w:val="0"/>
        <w:rPr>
          <w:rFonts w:hint="eastAsia"/>
          <w:lang w:val="en-US" w:eastAsia="zh-CN"/>
        </w:rPr>
      </w:pPr>
      <w:r>
        <w:rPr>
          <w:rFonts w:hint="eastAsia"/>
          <w:lang w:val="en-US" w:eastAsia="zh-CN"/>
        </w:rPr>
        <w:t>本项目产生的废气污染源主要为圆筒料</w:t>
      </w:r>
      <w:r>
        <w:rPr>
          <w:rFonts w:hint="eastAsia"/>
          <w:highlight w:val="none"/>
          <w:lang w:val="en-US" w:eastAsia="zh-CN"/>
        </w:rPr>
        <w:t>仓上料</w:t>
      </w:r>
      <w:r>
        <w:rPr>
          <w:rFonts w:hint="eastAsia"/>
          <w:lang w:val="en-US" w:eastAsia="zh-CN"/>
        </w:rPr>
        <w:t>粉尘、搅拌主楼下料粉尘、料场堆放过程中产生的粉尘和食堂油烟。</w:t>
      </w:r>
    </w:p>
    <w:p>
      <w:pPr>
        <w:pStyle w:val="9"/>
        <w:bidi w:val="0"/>
        <w:rPr>
          <w:rFonts w:hint="default"/>
          <w:b/>
          <w:bCs/>
          <w:lang w:val="en-US" w:eastAsia="zh-CN"/>
        </w:rPr>
      </w:pPr>
      <w:r>
        <w:rPr>
          <w:rFonts w:hint="eastAsia"/>
          <w:b/>
          <w:bCs/>
          <w:lang w:val="en-US" w:eastAsia="zh-CN"/>
        </w:rPr>
        <w:t>1、圆筒料上料粉尘</w:t>
      </w:r>
    </w:p>
    <w:p>
      <w:pPr>
        <w:pStyle w:val="9"/>
        <w:bidi w:val="0"/>
        <w:rPr>
          <w:rFonts w:hint="eastAsia"/>
          <w:color w:val="auto"/>
          <w:lang w:val="en-US" w:eastAsia="zh-CN"/>
        </w:rPr>
      </w:pPr>
      <w:r>
        <w:rPr>
          <w:rFonts w:hint="eastAsia"/>
          <w:lang w:val="en-US" w:eastAsia="zh-CN"/>
        </w:rPr>
        <w:t>厂区共有4个原料圆筒料仓，1#</w:t>
      </w:r>
      <w:r>
        <w:rPr>
          <w:rFonts w:hint="eastAsia"/>
          <w:color w:val="auto"/>
          <w:lang w:val="en-US" w:eastAsia="zh-CN"/>
        </w:rPr>
        <w:t>为矿渣微粉圆筒料仓，2#、3#为水泥圆筒料仓，4#为粉煤灰圆筒料仓。3#圆筒料仓仓顶、4#圆筒料仓仓顶均设置了1台脉冲袋式除尘器，2#、3#圆筒料仓仓顶粉尘由管道收集经3#圆筒料仓仓顶脉冲袋式除尘器处理后由1#排气筒排放；1#、4#圆筒料</w:t>
      </w:r>
      <w:r>
        <w:rPr>
          <w:rFonts w:hint="eastAsia"/>
          <w:color w:val="auto"/>
          <w:highlight w:val="none"/>
          <w:lang w:val="en-US" w:eastAsia="zh-CN"/>
        </w:rPr>
        <w:t>仓仓</w:t>
      </w:r>
      <w:r>
        <w:rPr>
          <w:rFonts w:hint="eastAsia"/>
          <w:color w:val="auto"/>
          <w:lang w:val="en-US" w:eastAsia="zh-CN"/>
        </w:rPr>
        <w:t>顶粉尘由管道收集经4#圆筒料</w:t>
      </w:r>
      <w:r>
        <w:rPr>
          <w:rFonts w:hint="eastAsia"/>
          <w:color w:val="auto"/>
          <w:highlight w:val="none"/>
          <w:lang w:val="en-US" w:eastAsia="zh-CN"/>
        </w:rPr>
        <w:t>仓仓</w:t>
      </w:r>
      <w:r>
        <w:rPr>
          <w:rFonts w:hint="eastAsia"/>
          <w:color w:val="auto"/>
          <w:lang w:val="en-US" w:eastAsia="zh-CN"/>
        </w:rPr>
        <w:t>顶脉冲袋式除尘器处理后由2#排气筒排放；排气筒高度均为25m。</w:t>
      </w:r>
    </w:p>
    <w:p>
      <w:pPr>
        <w:jc w:val="center"/>
        <w:rPr>
          <w:rFonts w:hint="eastAsia"/>
          <w:lang w:val="en-US" w:eastAsia="zh-CN"/>
        </w:rPr>
      </w:pPr>
      <w:r>
        <w:rPr>
          <w:rFonts w:hint="eastAsia"/>
          <w:lang w:val="en-US" w:eastAsia="zh-CN"/>
        </w:rPr>
        <w:object>
          <v:shape id="_x0000_i1029" o:spt="75" type="#_x0000_t75" style="height:148.6pt;width:317.25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p>
    <w:p>
      <w:pPr>
        <w:pStyle w:val="13"/>
        <w:bidi w:val="0"/>
        <w:rPr>
          <w:rFonts w:hint="eastAsia"/>
          <w:lang w:val="en-US" w:eastAsia="zh-CN"/>
        </w:rPr>
      </w:pPr>
      <w:r>
        <w:rPr>
          <w:rFonts w:hint="eastAsia"/>
          <w:lang w:val="en-US" w:eastAsia="zh-CN"/>
        </w:rPr>
        <w:t>图4.1-4    圆筒仓顶上料粉尘废气处理工艺流程图</w:t>
      </w:r>
    </w:p>
    <w:p>
      <w:pPr>
        <w:rPr>
          <w:rFonts w:hint="eastAsia"/>
          <w:lang w:val="en-US" w:eastAsia="zh-CN"/>
        </w:rPr>
      </w:pPr>
    </w:p>
    <w:tbl>
      <w:tblPr>
        <w:tblStyle w:val="11"/>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1" w:hRule="atLeast"/>
          <w:jc w:val="center"/>
        </w:trPr>
        <w:tc>
          <w:tcPr>
            <w:tcW w:w="4261" w:type="dxa"/>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444115" cy="3964940"/>
                  <wp:effectExtent l="12700" t="12700" r="19685" b="22860"/>
                  <wp:docPr id="13" name="图片 13" descr="仓顶除尘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仓顶除尘器1"/>
                          <pic:cNvPicPr>
                            <a:picLocks noChangeAspect="1"/>
                          </pic:cNvPicPr>
                        </pic:nvPicPr>
                        <pic:blipFill>
                          <a:blip r:embed="rId20"/>
                          <a:stretch>
                            <a:fillRect/>
                          </a:stretch>
                        </pic:blipFill>
                        <pic:spPr>
                          <a:xfrm>
                            <a:off x="0" y="0"/>
                            <a:ext cx="2444115" cy="3964940"/>
                          </a:xfrm>
                          <a:prstGeom prst="rect">
                            <a:avLst/>
                          </a:prstGeom>
                          <a:ln w="12700" cmpd="sng">
                            <a:solidFill>
                              <a:schemeClr val="tx1"/>
                            </a:solidFill>
                            <a:prstDash val="solid"/>
                          </a:ln>
                        </pic:spPr>
                      </pic:pic>
                    </a:graphicData>
                  </a:graphic>
                </wp:inline>
              </w:drawing>
            </w:r>
          </w:p>
        </w:tc>
        <w:tc>
          <w:tcPr>
            <w:tcW w:w="4261" w:type="dxa"/>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534285" cy="2765425"/>
                  <wp:effectExtent l="12700" t="12700" r="24765" b="22225"/>
                  <wp:docPr id="10" name="图片 10" descr="仓顶除尘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仓顶除尘器2"/>
                          <pic:cNvPicPr>
                            <a:picLocks noChangeAspect="1"/>
                          </pic:cNvPicPr>
                        </pic:nvPicPr>
                        <pic:blipFill>
                          <a:blip r:embed="rId21"/>
                          <a:stretch>
                            <a:fillRect/>
                          </a:stretch>
                        </pic:blipFill>
                        <pic:spPr>
                          <a:xfrm>
                            <a:off x="0" y="0"/>
                            <a:ext cx="2534285" cy="276542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61" w:type="dxa"/>
            <w:vAlign w:val="center"/>
          </w:tcPr>
          <w:p>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5</w:t>
            </w:r>
            <w:r>
              <w:rPr>
                <w:rFonts w:hint="default" w:ascii="Times New Roman" w:hAnsi="Times New Roman" w:cs="Times New Roman"/>
                <w:b/>
                <w:bCs/>
                <w:lang w:val="en-US" w:eastAsia="zh-CN"/>
              </w:rPr>
              <w:t xml:space="preserve">    仓顶脉冲袋式除尘器1</w:t>
            </w:r>
          </w:p>
        </w:tc>
        <w:tc>
          <w:tcPr>
            <w:tcW w:w="4261" w:type="dxa"/>
            <w:vAlign w:val="center"/>
          </w:tcPr>
          <w:p>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 xml:space="preserve">6 </w:t>
            </w:r>
            <w:r>
              <w:rPr>
                <w:rFonts w:hint="default" w:ascii="Times New Roman" w:hAnsi="Times New Roman" w:cs="Times New Roman"/>
                <w:b/>
                <w:bCs/>
                <w:lang w:val="en-US" w:eastAsia="zh-CN"/>
              </w:rPr>
              <w:t xml:space="preserve">   仓顶脉冲袋式除尘器2</w:t>
            </w:r>
          </w:p>
        </w:tc>
      </w:tr>
    </w:tbl>
    <w:p>
      <w:pPr>
        <w:pStyle w:val="9"/>
        <w:bidi w:val="0"/>
        <w:rPr>
          <w:rFonts w:hint="default"/>
          <w:b/>
          <w:bCs/>
          <w:sz w:val="21"/>
          <w:szCs w:val="21"/>
          <w:highlight w:val="none"/>
          <w:lang w:val="en-US" w:eastAsia="zh-CN"/>
        </w:rPr>
      </w:pPr>
      <w:r>
        <w:rPr>
          <w:rFonts w:hint="eastAsia"/>
          <w:b/>
          <w:bCs/>
          <w:sz w:val="21"/>
          <w:szCs w:val="21"/>
          <w:highlight w:val="none"/>
          <w:lang w:val="en-US" w:eastAsia="zh-CN"/>
        </w:rPr>
        <w:t>注：图4.1-5为圆筒料仓全封闭前照片。</w:t>
      </w:r>
    </w:p>
    <w:p>
      <w:pPr>
        <w:pStyle w:val="9"/>
        <w:bidi w:val="0"/>
        <w:rPr>
          <w:rFonts w:hint="default"/>
          <w:b/>
          <w:bCs/>
          <w:highlight w:val="none"/>
          <w:lang w:val="en-US" w:eastAsia="zh-CN"/>
        </w:rPr>
      </w:pPr>
      <w:r>
        <w:rPr>
          <w:rFonts w:hint="eastAsia"/>
          <w:b/>
          <w:bCs/>
          <w:highlight w:val="none"/>
          <w:lang w:val="en-US" w:eastAsia="zh-CN"/>
        </w:rPr>
        <w:t>2、搅拌主楼下料粉尘</w:t>
      </w:r>
    </w:p>
    <w:p>
      <w:pPr>
        <w:pStyle w:val="9"/>
        <w:bidi w:val="0"/>
        <w:rPr>
          <w:rFonts w:hint="default"/>
          <w:highlight w:val="yellow"/>
          <w:lang w:val="en-US" w:eastAsia="zh-CN"/>
        </w:rPr>
      </w:pPr>
      <w:r>
        <w:rPr>
          <w:rFonts w:hint="eastAsia"/>
          <w:highlight w:val="none"/>
          <w:lang w:val="en-US" w:eastAsia="zh-CN"/>
        </w:rPr>
        <w:t>厂区搅拌主楼配备一台3m</w:t>
      </w:r>
      <w:r>
        <w:rPr>
          <w:rFonts w:hint="eastAsia"/>
          <w:highlight w:val="none"/>
          <w:vertAlign w:val="superscript"/>
          <w:lang w:val="en-US" w:eastAsia="zh-CN"/>
        </w:rPr>
        <w:t>3</w:t>
      </w:r>
      <w:r>
        <w:rPr>
          <w:rFonts w:hint="eastAsia"/>
          <w:highlight w:val="none"/>
          <w:lang w:val="en-US" w:eastAsia="zh-CN"/>
        </w:rPr>
        <w:t>的搅拌机，水泥、粉煤灰、矿渣粉按配方经过精确计量由圆筒料仓送到搅拌机进料斗，黄沙、石子按配方经精确计量后由皮带运输机送到搅拌机进料斗，下料过程产生的粉尘经收集通过一台脉冲袋式除尘器处理后无组织排放；同时，搅拌主楼全封闭、皮带运输机全封闭、上料区半封闭、定期喷淋降尘以减少过程中粉尘的无组织排放对周围环境的影响。</w:t>
      </w:r>
    </w:p>
    <w:p>
      <w:pPr>
        <w:bidi w:val="0"/>
        <w:jc w:val="center"/>
        <w:rPr>
          <w:rFonts w:hint="eastAsia"/>
          <w:lang w:val="en-US" w:eastAsia="zh-CN"/>
        </w:rPr>
      </w:pPr>
      <w:r>
        <w:rPr>
          <w:rFonts w:hint="eastAsia"/>
          <w:lang w:val="en-US" w:eastAsia="zh-CN"/>
        </w:rPr>
        <w:object>
          <v:shape id="_x0000_i1030" o:spt="75" type="#_x0000_t75" style="height:212.4pt;width:318.75pt;" o:ole="t" filled="f" o:preferrelative="t" stroked="f" coordsize="21600,21600">
            <v:path/>
            <v:fill on="f" focussize="0,0"/>
            <v:stroke on="f"/>
            <v:imagedata r:id="rId23" o:title=""/>
            <o:lock v:ext="edit" aspectratio="f"/>
            <w10:wrap type="none"/>
            <w10:anchorlock/>
          </v:shape>
          <o:OLEObject Type="Embed" ProgID="Visio.Drawing.11" ShapeID="_x0000_i1030" DrawAspect="Content" ObjectID="_1468075730" r:id="rId22">
            <o:LockedField>false</o:LockedField>
          </o:OLEObject>
        </w:object>
      </w:r>
    </w:p>
    <w:p>
      <w:pPr>
        <w:pStyle w:val="13"/>
        <w:bidi w:val="0"/>
        <w:rPr>
          <w:rFonts w:hint="eastAsia"/>
          <w:lang w:val="en-US" w:eastAsia="zh-CN"/>
        </w:rPr>
      </w:pPr>
      <w:r>
        <w:rPr>
          <w:rFonts w:hint="eastAsia"/>
          <w:lang w:val="en-US" w:eastAsia="zh-CN"/>
        </w:rPr>
        <w:t>图4.1-7    搅拌主楼下料粉尘处理工艺流程图</w:t>
      </w:r>
    </w:p>
    <w:p>
      <w:pPr>
        <w:rPr>
          <w:rFonts w:hint="eastAsia"/>
          <w:lang w:val="en-US" w:eastAsia="zh-CN"/>
        </w:rPr>
      </w:pPr>
    </w:p>
    <w:tbl>
      <w:tblPr>
        <w:tblStyle w:val="11"/>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22" w:type="dxa"/>
            <w:gridSpan w:val="2"/>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415540" cy="4026535"/>
                  <wp:effectExtent l="12700" t="12700" r="29210" b="18415"/>
                  <wp:docPr id="11" name="图片 11" descr="搅拌机除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搅拌机除尘1"/>
                          <pic:cNvPicPr>
                            <a:picLocks noChangeAspect="1"/>
                          </pic:cNvPicPr>
                        </pic:nvPicPr>
                        <pic:blipFill>
                          <a:blip r:embed="rId24"/>
                          <a:stretch>
                            <a:fillRect/>
                          </a:stretch>
                        </pic:blipFill>
                        <pic:spPr>
                          <a:xfrm>
                            <a:off x="0" y="0"/>
                            <a:ext cx="2415540" cy="402653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22" w:type="dxa"/>
            <w:gridSpan w:val="2"/>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8</w:t>
            </w:r>
            <w:r>
              <w:rPr>
                <w:rFonts w:hint="default" w:ascii="Times New Roman" w:hAnsi="Times New Roman" w:cs="Times New Roman"/>
                <w:b/>
                <w:bCs/>
                <w:lang w:val="en-US" w:eastAsia="zh-CN"/>
              </w:rPr>
              <w:t xml:space="preserve">    脉冲袋式除尘器（</w:t>
            </w:r>
            <w:r>
              <w:rPr>
                <w:rFonts w:hint="eastAsia" w:ascii="Times New Roman" w:hAnsi="Times New Roman" w:cs="Times New Roman"/>
                <w:b/>
                <w:bCs/>
                <w:lang w:val="en-US" w:eastAsia="zh-CN"/>
              </w:rPr>
              <w:t>下料粉尘</w:t>
            </w:r>
            <w:r>
              <w:rPr>
                <w:rFonts w:hint="default" w:ascii="Times New Roman" w:hAnsi="Times New Roman" w:cs="Times New Roman"/>
                <w:b/>
                <w:bCs/>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61" w:type="dxa"/>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560320" cy="1920240"/>
                  <wp:effectExtent l="12700" t="12700" r="17780" b="29210"/>
                  <wp:docPr id="28" name="图片 28" descr="全封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全封闭1"/>
                          <pic:cNvPicPr>
                            <a:picLocks noChangeAspect="1"/>
                          </pic:cNvPicPr>
                        </pic:nvPicPr>
                        <pic:blipFill>
                          <a:blip r:embed="rId25"/>
                          <a:stretch>
                            <a:fillRect/>
                          </a:stretch>
                        </pic:blipFill>
                        <pic:spPr>
                          <a:xfrm>
                            <a:off x="0" y="0"/>
                            <a:ext cx="2560320" cy="1920240"/>
                          </a:xfrm>
                          <a:prstGeom prst="rect">
                            <a:avLst/>
                          </a:prstGeom>
                          <a:ln w="12700">
                            <a:solidFill>
                              <a:schemeClr val="tx1"/>
                            </a:solidFill>
                          </a:ln>
                        </pic:spPr>
                      </pic:pic>
                    </a:graphicData>
                  </a:graphic>
                </wp:inline>
              </w:drawing>
            </w:r>
          </w:p>
        </w:tc>
        <w:tc>
          <w:tcPr>
            <w:tcW w:w="4261" w:type="dxa"/>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564765" cy="1923415"/>
                  <wp:effectExtent l="12700" t="12700" r="13335" b="26035"/>
                  <wp:docPr id="29" name="图片 29" descr="半封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半封闭2"/>
                          <pic:cNvPicPr>
                            <a:picLocks noChangeAspect="1"/>
                          </pic:cNvPicPr>
                        </pic:nvPicPr>
                        <pic:blipFill>
                          <a:blip r:embed="rId26"/>
                          <a:stretch>
                            <a:fillRect/>
                          </a:stretch>
                        </pic:blipFill>
                        <pic:spPr>
                          <a:xfrm>
                            <a:off x="0" y="0"/>
                            <a:ext cx="2564765" cy="192341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61" w:type="dxa"/>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9</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搅拌主楼、皮带运输机封闭</w:t>
            </w:r>
          </w:p>
        </w:tc>
        <w:tc>
          <w:tcPr>
            <w:tcW w:w="4261" w:type="dxa"/>
            <w:vAlign w:val="center"/>
          </w:tcPr>
          <w:p>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10</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半封闭上料区</w:t>
            </w:r>
          </w:p>
        </w:tc>
      </w:tr>
    </w:tbl>
    <w:p>
      <w:pPr>
        <w:pStyle w:val="9"/>
        <w:bidi w:val="0"/>
        <w:rPr>
          <w:rFonts w:hint="eastAsia"/>
          <w:b/>
          <w:bCs/>
          <w:lang w:val="en-US" w:eastAsia="zh-CN"/>
        </w:rPr>
      </w:pPr>
      <w:r>
        <w:rPr>
          <w:rFonts w:hint="eastAsia"/>
          <w:b/>
          <w:bCs/>
          <w:lang w:val="en-US" w:eastAsia="zh-CN"/>
        </w:rPr>
        <w:t>脉冲袋式除尘器原理：</w:t>
      </w:r>
    </w:p>
    <w:p>
      <w:pPr>
        <w:pStyle w:val="9"/>
        <w:bidi w:val="0"/>
        <w:rPr>
          <w:rFonts w:hint="default"/>
          <w:lang w:val="en-US" w:eastAsia="zh-CN"/>
        </w:rPr>
      </w:pPr>
      <w:r>
        <w:rPr>
          <w:rFonts w:hint="eastAsia"/>
          <w:lang w:val="en-US" w:eastAsia="zh-CN"/>
        </w:rPr>
        <w:t>含尘空气由进风口进入脉冲袋式除尘器箱体内，因气流体积突然扩张流速骤然降低，颗粒较大的灰尘由于滤袋的筛滤、碰撞、扩散、静电等各种效应被滞阻在滤袋外壁。净化后的气体通过滤袋</w:t>
      </w:r>
      <w:r>
        <w:rPr>
          <w:rFonts w:hint="eastAsia"/>
          <w:highlight w:val="none"/>
          <w:lang w:val="en-US" w:eastAsia="zh-CN"/>
        </w:rPr>
        <w:t>经文</w:t>
      </w:r>
      <w:r>
        <w:rPr>
          <w:rFonts w:hint="eastAsia"/>
          <w:lang w:val="en-US" w:eastAsia="zh-CN"/>
        </w:rPr>
        <w:t>氏管从上箱体出风口排出。当滞阻在滤袋外壁的尘粒不断增加时，使除尘器阻力不断增加。为了保证除尘器的阻力控制在限定的范围内，由脉冲控制仪发出信号循序打开电磁脉冲阀，使气包内的压缩空气由喷吹管各吹管孔喷射到对应的文氏管时（称第一次风），并在高速气流通过文氏管时，诱导数倍于一次风的周围空气（称二次风）进入滤袋，造成滤袋瞬间急剧膨胀，由于反向脉冲气流的冲击作用很快消失，滤袋又急剧收缩，这样膨胀、收缩使积附在滤袋外壁的多余的尘粒被清洗，落下的灰尘经排灰系统排出，使滤袋得到清洗。</w:t>
      </w:r>
    </w:p>
    <w:p>
      <w:pPr>
        <w:pStyle w:val="9"/>
        <w:bidi w:val="0"/>
        <w:rPr>
          <w:rFonts w:hint="eastAsia"/>
          <w:lang w:val="en-US" w:eastAsia="zh-CN"/>
        </w:rPr>
      </w:pPr>
      <w:r>
        <w:rPr>
          <w:rFonts w:hint="eastAsia"/>
          <w:lang w:val="en-US" w:eastAsia="zh-CN"/>
        </w:rPr>
        <w:t>由于清灰是依次分别向几组滤袋进行，并不切断需要处理的含尘空气，所以在清灰的过程中，除尘器的处理能力可保持不变。其清灰（脉冲）间隔、宽度、周期可按照尘粒性质、含尘浓度及过滤风速的具体情况进行调整。</w:t>
      </w:r>
    </w:p>
    <w:p>
      <w:pPr>
        <w:pStyle w:val="9"/>
        <w:bidi w:val="0"/>
        <w:rPr>
          <w:rFonts w:hint="eastAsia"/>
          <w:lang w:val="en-US" w:eastAsia="zh-CN"/>
        </w:rPr>
      </w:pPr>
      <w:r>
        <w:rPr>
          <w:rFonts w:hint="eastAsia"/>
          <w:lang w:val="en-US" w:eastAsia="zh-CN"/>
        </w:rPr>
        <w:t>特点：（1）采用分室停风脉冲喷吹清灰技术，克服了常规脉冲除尘器和分室反吹除尘器的缺点，清灰能力强，除尘效率高，排放浓度低，漏风率小，能耗少，钢耗少，占地面积少，运行稳定可靠；</w:t>
      </w:r>
    </w:p>
    <w:p>
      <w:pPr>
        <w:pStyle w:val="9"/>
        <w:bidi w:val="0"/>
        <w:rPr>
          <w:rFonts w:hint="eastAsia"/>
          <w:lang w:val="en-US" w:eastAsia="zh-CN"/>
        </w:rPr>
      </w:pPr>
      <w:r>
        <w:rPr>
          <w:rFonts w:hint="eastAsia"/>
          <w:lang w:val="en-US" w:eastAsia="zh-CN"/>
        </w:rPr>
        <w:t>（2）由于采用分室停风脉冲喷吹清灰，喷吹一次就可达到彻底清灰的目的，所以清灰周期延长，降低了清灰能耗，压气耗量可大为降低。同时，滤袋与脉冲阀的疲劳程度也相应减低，从而成倍地提高滤袋与阀片的寿命；</w:t>
      </w:r>
    </w:p>
    <w:p>
      <w:pPr>
        <w:pStyle w:val="9"/>
        <w:bidi w:val="0"/>
        <w:rPr>
          <w:rFonts w:hint="eastAsia"/>
          <w:lang w:val="en-US" w:eastAsia="zh-CN"/>
        </w:rPr>
      </w:pPr>
      <w:r>
        <w:rPr>
          <w:rFonts w:hint="eastAsia"/>
          <w:lang w:val="en-US" w:eastAsia="zh-CN"/>
        </w:rPr>
        <w:t>（3）检修换袋可在不停系统风机，系统正常运行条件下分室进行。滤</w:t>
      </w:r>
      <w:r>
        <w:rPr>
          <w:rFonts w:hint="eastAsia"/>
          <w:highlight w:val="none"/>
          <w:lang w:val="en-US" w:eastAsia="zh-CN"/>
        </w:rPr>
        <w:t>袋袋</w:t>
      </w:r>
      <w:r>
        <w:rPr>
          <w:rFonts w:hint="eastAsia"/>
          <w:lang w:val="en-US" w:eastAsia="zh-CN"/>
        </w:rPr>
        <w:t>口采用弹性涨圈，密封性能好，牢固可靠。滤袋龙骨采用多角形，减少了袋与龙骨的摩擦，延长了袋的寿命，又便于卸袋；采用上部抽袋方式，换袋时抽出袋笼后，脏袋投入箱体下部灰斗，由人孔处取出，改善了换袋操作条件；</w:t>
      </w:r>
    </w:p>
    <w:p>
      <w:pPr>
        <w:pStyle w:val="9"/>
        <w:bidi w:val="0"/>
        <w:rPr>
          <w:rFonts w:hint="eastAsia"/>
          <w:lang w:val="en-US" w:eastAsia="zh-CN"/>
        </w:rPr>
      </w:pPr>
      <w:r>
        <w:rPr>
          <w:rFonts w:hint="eastAsia"/>
          <w:lang w:val="en-US" w:eastAsia="zh-CN"/>
        </w:rPr>
        <w:t>（4）整机采用微机自动控制，各参数易于调节，可实现无岗位工作。</w:t>
      </w:r>
    </w:p>
    <w:p>
      <w:pPr>
        <w:pStyle w:val="9"/>
        <w:bidi w:val="0"/>
        <w:rPr>
          <w:rFonts w:hint="default"/>
          <w:b/>
          <w:bCs/>
          <w:highlight w:val="none"/>
          <w:lang w:val="en-US" w:eastAsia="zh-CN"/>
        </w:rPr>
      </w:pPr>
      <w:r>
        <w:rPr>
          <w:rFonts w:hint="eastAsia"/>
          <w:b/>
          <w:bCs/>
          <w:highlight w:val="none"/>
          <w:lang w:val="en-US" w:eastAsia="zh-CN"/>
        </w:rPr>
        <w:t>3、料场堆放粉尘</w:t>
      </w:r>
    </w:p>
    <w:p>
      <w:pPr>
        <w:pStyle w:val="9"/>
        <w:bidi w:val="0"/>
        <w:rPr>
          <w:rFonts w:hint="eastAsia"/>
          <w:highlight w:val="none"/>
          <w:lang w:val="en-US" w:eastAsia="zh-CN"/>
        </w:rPr>
      </w:pPr>
      <w:r>
        <w:rPr>
          <w:rFonts w:hint="eastAsia"/>
          <w:highlight w:val="none"/>
          <w:lang w:val="en-US" w:eastAsia="zh-CN"/>
        </w:rPr>
        <w:t>黄砂、石子在料场堆放过程会有少量粉尘产生，料场采用封闭顶盖处理、定期喷淋降尘以减少过程中粉尘的无组织排放对周围环境的影响。</w:t>
      </w: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8522" w:type="dxa"/>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952115" cy="2215515"/>
                  <wp:effectExtent l="12700" t="12700" r="26035" b="19685"/>
                  <wp:docPr id="9" name="图片 9" descr="半封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半封闭1"/>
                          <pic:cNvPicPr>
                            <a:picLocks noChangeAspect="1"/>
                          </pic:cNvPicPr>
                        </pic:nvPicPr>
                        <pic:blipFill>
                          <a:blip r:embed="rId27"/>
                          <a:stretch>
                            <a:fillRect/>
                          </a:stretch>
                        </pic:blipFill>
                        <pic:spPr>
                          <a:xfrm>
                            <a:off x="0" y="0"/>
                            <a:ext cx="2952115" cy="221551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 xml:space="preserve">12 </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料场封闭顶盖处理</w:t>
            </w:r>
          </w:p>
        </w:tc>
      </w:tr>
    </w:tbl>
    <w:p>
      <w:pPr>
        <w:pStyle w:val="9"/>
        <w:bidi w:val="0"/>
        <w:rPr>
          <w:rFonts w:hint="default"/>
          <w:b/>
          <w:bCs/>
          <w:lang w:val="en-US" w:eastAsia="zh-CN"/>
        </w:rPr>
      </w:pPr>
      <w:r>
        <w:rPr>
          <w:rFonts w:hint="eastAsia"/>
          <w:b/>
          <w:bCs/>
          <w:lang w:val="en-US" w:eastAsia="zh-CN"/>
        </w:rPr>
        <w:t>5、食堂餐饮油烟</w:t>
      </w:r>
    </w:p>
    <w:p>
      <w:pPr>
        <w:pStyle w:val="9"/>
        <w:bidi w:val="0"/>
        <w:rPr>
          <w:rFonts w:hint="default"/>
          <w:lang w:val="en-US" w:eastAsia="zh-CN"/>
        </w:rPr>
      </w:pPr>
      <w:r>
        <w:rPr>
          <w:rFonts w:hint="eastAsia"/>
          <w:lang w:val="en-US" w:eastAsia="zh-CN"/>
        </w:rPr>
        <w:t>食堂餐饮油烟采用静电式油烟净化器处理，型号为XGJ-JD-4A，处理风量为4000m</w:t>
      </w:r>
      <w:r>
        <w:rPr>
          <w:rFonts w:hint="eastAsia"/>
          <w:vertAlign w:val="superscript"/>
          <w:lang w:val="en-US" w:eastAsia="zh-CN"/>
        </w:rPr>
        <w:t>3</w:t>
      </w:r>
      <w:r>
        <w:rPr>
          <w:rFonts w:hint="eastAsia"/>
          <w:lang w:val="en-US" w:eastAsia="zh-CN"/>
        </w:rPr>
        <w:t>/h，功率为100W，额定电压为220V。</w:t>
      </w: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bidi w:val="0"/>
              <w:jc w:val="center"/>
              <w:rPr>
                <w:rFonts w:hint="eastAsia"/>
                <w:lang w:val="en-US" w:eastAsia="zh-CN"/>
              </w:rPr>
            </w:pPr>
            <w:r>
              <w:rPr>
                <w:rFonts w:hint="eastAsia"/>
                <w:lang w:val="en-US" w:eastAsia="zh-CN"/>
              </w:rPr>
              <w:drawing>
                <wp:inline distT="0" distB="0" distL="114300" distR="114300">
                  <wp:extent cx="2399030" cy="2692400"/>
                  <wp:effectExtent l="12700" t="12700" r="26670" b="1905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28"/>
                          <a:stretch>
                            <a:fillRect/>
                          </a:stretch>
                        </pic:blipFill>
                        <pic:spPr>
                          <a:xfrm>
                            <a:off x="0" y="0"/>
                            <a:ext cx="2399030" cy="2692400"/>
                          </a:xfrm>
                          <a:prstGeom prst="rect">
                            <a:avLst/>
                          </a:prstGeom>
                          <a:ln w="12700">
                            <a:solidFill>
                              <a:schemeClr val="tx1"/>
                            </a:solidFill>
                          </a:ln>
                        </pic:spPr>
                      </pic:pic>
                    </a:graphicData>
                  </a:graphic>
                </wp:inline>
              </w:drawing>
            </w:r>
          </w:p>
        </w:tc>
        <w:tc>
          <w:tcPr>
            <w:tcW w:w="4261" w:type="dxa"/>
            <w:vAlign w:val="center"/>
          </w:tcPr>
          <w:p>
            <w:pPr>
              <w:bidi w:val="0"/>
              <w:jc w:val="center"/>
              <w:rPr>
                <w:rFonts w:hint="eastAsia"/>
                <w:lang w:val="en-US" w:eastAsia="zh-CN"/>
              </w:rPr>
            </w:pPr>
            <w:r>
              <w:rPr>
                <w:rFonts w:hint="eastAsia"/>
                <w:lang w:val="en-US" w:eastAsia="zh-CN"/>
              </w:rPr>
              <w:drawing>
                <wp:inline distT="0" distB="0" distL="114300" distR="114300">
                  <wp:extent cx="2352675" cy="2656840"/>
                  <wp:effectExtent l="12700" t="12700" r="15875" b="16510"/>
                  <wp:docPr id="23" name="图片 23" descr="油烟净化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油烟净化器2）"/>
                          <pic:cNvPicPr>
                            <a:picLocks noChangeAspect="1"/>
                          </pic:cNvPicPr>
                        </pic:nvPicPr>
                        <pic:blipFill>
                          <a:blip r:embed="rId29"/>
                          <a:stretch>
                            <a:fillRect/>
                          </a:stretch>
                        </pic:blipFill>
                        <pic:spPr>
                          <a:xfrm>
                            <a:off x="0" y="0"/>
                            <a:ext cx="2352675" cy="2656840"/>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bidi w:val="0"/>
              <w:jc w:val="center"/>
              <w:rPr>
                <w:rFonts w:hint="eastAsia"/>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13</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食堂餐饮油烟净化器</w:t>
            </w:r>
          </w:p>
        </w:tc>
        <w:tc>
          <w:tcPr>
            <w:tcW w:w="4261" w:type="dxa"/>
            <w:vAlign w:val="center"/>
          </w:tcPr>
          <w:p>
            <w:pPr>
              <w:bidi w:val="0"/>
              <w:jc w:val="center"/>
              <w:rPr>
                <w:rFonts w:hint="eastAsia"/>
                <w:lang w:val="en-US" w:eastAsia="zh-CN"/>
              </w:rPr>
            </w:pPr>
            <w:r>
              <w:rPr>
                <w:rFonts w:hint="default" w:ascii="Times New Roman" w:hAnsi="Times New Roman" w:cs="Times New Roman"/>
                <w:b/>
                <w:bCs/>
                <w:lang w:val="en-US" w:eastAsia="zh-CN"/>
              </w:rPr>
              <w:t>图4.1-</w:t>
            </w:r>
            <w:r>
              <w:rPr>
                <w:rFonts w:hint="eastAsia" w:ascii="Times New Roman" w:hAnsi="Times New Roman" w:cs="Times New Roman"/>
                <w:b/>
                <w:bCs/>
                <w:lang w:val="en-US" w:eastAsia="zh-CN"/>
              </w:rPr>
              <w:t>14</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食堂餐饮油烟净化器</w:t>
            </w:r>
          </w:p>
        </w:tc>
      </w:tr>
    </w:tbl>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r>
        <w:rPr>
          <w:rFonts w:hint="eastAsia"/>
          <w:lang w:val="en-US" w:eastAsia="zh-CN"/>
        </w:rPr>
        <w:t>表4.1-2    废气产生、排放情况一览表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750"/>
        <w:gridCol w:w="849"/>
        <w:gridCol w:w="921"/>
        <w:gridCol w:w="1875"/>
        <w:gridCol w:w="2465"/>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40"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废气</w:t>
            </w:r>
          </w:p>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名称</w:t>
            </w:r>
          </w:p>
        </w:tc>
        <w:tc>
          <w:tcPr>
            <w:tcW w:w="750"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废气</w:t>
            </w:r>
          </w:p>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来源</w:t>
            </w:r>
          </w:p>
        </w:tc>
        <w:tc>
          <w:tcPr>
            <w:tcW w:w="849"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w:t>
            </w:r>
          </w:p>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种类</w:t>
            </w:r>
          </w:p>
        </w:tc>
        <w:tc>
          <w:tcPr>
            <w:tcW w:w="921"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排放形式</w:t>
            </w:r>
          </w:p>
        </w:tc>
        <w:tc>
          <w:tcPr>
            <w:tcW w:w="1875"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治理设施</w:t>
            </w:r>
          </w:p>
        </w:tc>
        <w:tc>
          <w:tcPr>
            <w:tcW w:w="2465"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治理设施参数</w:t>
            </w:r>
          </w:p>
        </w:tc>
        <w:tc>
          <w:tcPr>
            <w:tcW w:w="722"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w:t>
            </w:r>
          </w:p>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4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圆筒料仓</w:t>
            </w:r>
            <w:r>
              <w:rPr>
                <w:rFonts w:hint="default" w:ascii="Times New Roman" w:hAnsi="Times New Roman" w:eastAsia="宋体" w:cs="Times New Roman"/>
                <w:b w:val="0"/>
                <w:bCs w:val="0"/>
                <w:sz w:val="21"/>
                <w:szCs w:val="21"/>
                <w:lang w:val="en-US" w:eastAsia="zh-CN"/>
              </w:rPr>
              <w:t>仓顶粉尘</w:t>
            </w:r>
          </w:p>
        </w:tc>
        <w:tc>
          <w:tcPr>
            <w:tcW w:w="75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圆筒料仓</w:t>
            </w:r>
            <w:r>
              <w:rPr>
                <w:rFonts w:hint="eastAsia" w:ascii="Times New Roman" w:hAnsi="Times New Roman" w:eastAsia="宋体" w:cs="Times New Roman"/>
                <w:b w:val="0"/>
                <w:bCs w:val="0"/>
                <w:sz w:val="21"/>
                <w:szCs w:val="21"/>
                <w:lang w:val="en-US" w:eastAsia="zh-CN"/>
              </w:rPr>
              <w:t>上料</w:t>
            </w:r>
          </w:p>
        </w:tc>
        <w:tc>
          <w:tcPr>
            <w:tcW w:w="849" w:type="dxa"/>
            <w:vAlign w:val="center"/>
          </w:tcPr>
          <w:p>
            <w:pPr>
              <w:bidi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t>颗粒物</w:t>
            </w:r>
          </w:p>
        </w:tc>
        <w:tc>
          <w:tcPr>
            <w:tcW w:w="921" w:type="dxa"/>
            <w:vAlign w:val="center"/>
          </w:tcPr>
          <w:p>
            <w:pPr>
              <w:bidi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t>有组织</w:t>
            </w:r>
          </w:p>
        </w:tc>
        <w:tc>
          <w:tcPr>
            <w:tcW w:w="1875"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管道直接收集+脉冲袋式除尘器+25m排气筒</w:t>
            </w:r>
          </w:p>
        </w:tc>
        <w:tc>
          <w:tcPr>
            <w:tcW w:w="2465" w:type="dxa"/>
            <w:vAlign w:val="center"/>
          </w:tcPr>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1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①</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设备安装厂家：安徽天诚环保机械有限公司</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2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②</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排气筒参数：</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内径0.6m，高度25m</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3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③</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风机风量：3000m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4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cs="Times New Roman"/>
              </w:rPr>
              <w:t>④</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滤袋数量（PCS）：40</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5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cs="Times New Roman"/>
              </w:rPr>
              <w:t>⑤</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过滤风速：2~4m/min</w:t>
            </w:r>
          </w:p>
        </w:tc>
        <w:tc>
          <w:tcPr>
            <w:tcW w:w="722"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排至</w:t>
            </w:r>
          </w:p>
          <w:p>
            <w:pPr>
              <w:bidi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7" w:hRule="atLeast"/>
        </w:trPr>
        <w:tc>
          <w:tcPr>
            <w:tcW w:w="94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搅拌主楼下料粉尘</w:t>
            </w:r>
          </w:p>
        </w:tc>
        <w:tc>
          <w:tcPr>
            <w:tcW w:w="75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下料</w:t>
            </w:r>
          </w:p>
        </w:tc>
        <w:tc>
          <w:tcPr>
            <w:tcW w:w="849"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92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r>
              <w:rPr>
                <w:rFonts w:hint="default" w:ascii="Times New Roman" w:hAnsi="Times New Roman" w:eastAsia="宋体" w:cs="Times New Roman"/>
                <w:sz w:val="21"/>
                <w:szCs w:val="21"/>
                <w:lang w:val="en-US" w:eastAsia="zh-CN"/>
              </w:rPr>
              <w:t>组织</w:t>
            </w:r>
          </w:p>
        </w:tc>
        <w:tc>
          <w:tcPr>
            <w:tcW w:w="1875" w:type="dxa"/>
            <w:vAlign w:val="center"/>
          </w:tcPr>
          <w:p>
            <w:pPr>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脉冲袋式除尘器、</w:t>
            </w:r>
          </w:p>
          <w:p>
            <w:pPr>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搅拌主楼封闭、皮带运输机全封闭、定期喷淋降尘</w:t>
            </w:r>
          </w:p>
        </w:tc>
        <w:tc>
          <w:tcPr>
            <w:tcW w:w="2465" w:type="dxa"/>
            <w:vAlign w:val="center"/>
          </w:tcPr>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1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①</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设备安装厂家：安徽天诚环保机械有限公司</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2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②</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风机风量：3000m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3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③</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滤袋数量（PCS）：40</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4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cs="Times New Roman"/>
              </w:rPr>
              <w:t>④</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过滤风速：2~4m/min</w:t>
            </w:r>
          </w:p>
        </w:tc>
        <w:tc>
          <w:tcPr>
            <w:tcW w:w="722" w:type="dxa"/>
            <w:vMerge w:val="continue"/>
            <w:vAlign w:val="center"/>
          </w:tcPr>
          <w:p>
            <w:pPr>
              <w:bidi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4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料场堆放粉尘</w:t>
            </w:r>
          </w:p>
        </w:tc>
        <w:tc>
          <w:tcPr>
            <w:tcW w:w="75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堆放</w:t>
            </w:r>
          </w:p>
        </w:tc>
        <w:tc>
          <w:tcPr>
            <w:tcW w:w="849"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92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r>
              <w:rPr>
                <w:rFonts w:hint="default" w:ascii="Times New Roman" w:hAnsi="Times New Roman" w:eastAsia="宋体" w:cs="Times New Roman"/>
                <w:sz w:val="21"/>
                <w:szCs w:val="21"/>
                <w:lang w:val="en-US" w:eastAsia="zh-CN"/>
              </w:rPr>
              <w:t>组织</w:t>
            </w:r>
          </w:p>
        </w:tc>
        <w:tc>
          <w:tcPr>
            <w:tcW w:w="1875" w:type="dxa"/>
            <w:vAlign w:val="center"/>
          </w:tcPr>
          <w:p>
            <w:pPr>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料场封闭顶盖处理、定期喷淋降尘</w:t>
            </w:r>
          </w:p>
        </w:tc>
        <w:tc>
          <w:tcPr>
            <w:tcW w:w="2465" w:type="dxa"/>
            <w:vAlign w:val="center"/>
          </w:tcPr>
          <w:p>
            <w:pPr>
              <w:bidi w:val="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22" w:type="dxa"/>
            <w:vMerge w:val="continue"/>
            <w:vAlign w:val="center"/>
          </w:tcPr>
          <w:p>
            <w:pPr>
              <w:bidi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4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油烟</w:t>
            </w:r>
          </w:p>
        </w:tc>
        <w:tc>
          <w:tcPr>
            <w:tcW w:w="750" w:type="dxa"/>
            <w:vAlign w:val="center"/>
          </w:tcPr>
          <w:p>
            <w:pPr>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食堂</w:t>
            </w:r>
          </w:p>
        </w:tc>
        <w:tc>
          <w:tcPr>
            <w:tcW w:w="84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lang w:val="en-US" w:eastAsia="zh-CN"/>
              </w:rPr>
              <w:t>油烟</w:t>
            </w:r>
          </w:p>
        </w:tc>
        <w:tc>
          <w:tcPr>
            <w:tcW w:w="92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r>
              <w:rPr>
                <w:rFonts w:hint="default" w:ascii="Times New Roman" w:hAnsi="Times New Roman" w:eastAsia="宋体" w:cs="Times New Roman"/>
                <w:sz w:val="21"/>
                <w:szCs w:val="21"/>
                <w:lang w:val="en-US" w:eastAsia="zh-CN"/>
              </w:rPr>
              <w:t>组织</w:t>
            </w:r>
          </w:p>
        </w:tc>
        <w:tc>
          <w:tcPr>
            <w:tcW w:w="1875" w:type="dxa"/>
            <w:vAlign w:val="center"/>
          </w:tcPr>
          <w:p>
            <w:pPr>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油烟净化器</w:t>
            </w:r>
          </w:p>
        </w:tc>
        <w:tc>
          <w:tcPr>
            <w:tcW w:w="2465" w:type="dxa"/>
            <w:vAlign w:val="center"/>
          </w:tcPr>
          <w:p>
            <w:pPr>
              <w:bidi w:val="0"/>
              <w:jc w:val="both"/>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1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①</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b w:val="0"/>
                <w:bCs w:val="0"/>
                <w:sz w:val="21"/>
                <w:szCs w:val="21"/>
                <w:lang w:val="en-US" w:eastAsia="zh-CN"/>
              </w:rPr>
              <w:t>型号</w:t>
            </w:r>
            <w:r>
              <w:rPr>
                <w:rFonts w:hint="eastAsia"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en-US" w:eastAsia="zh-CN"/>
              </w:rPr>
              <w:t>XGJ-JD-4A</w:t>
            </w:r>
            <w:r>
              <w:rPr>
                <w:rFonts w:hint="eastAsia" w:ascii="Times New Roman" w:hAnsi="Times New Roman" w:eastAsia="宋体" w:cs="Times New Roman"/>
                <w:b w:val="0"/>
                <w:bCs w:val="0"/>
                <w:sz w:val="21"/>
                <w:szCs w:val="21"/>
                <w:lang w:val="en-US" w:eastAsia="zh-CN"/>
              </w:rPr>
              <w:t>；</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2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②</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b w:val="0"/>
                <w:bCs w:val="0"/>
                <w:sz w:val="21"/>
                <w:szCs w:val="21"/>
                <w:highlight w:val="none"/>
                <w:lang w:val="en-US" w:eastAsia="zh-CN"/>
              </w:rPr>
              <w:t>处</w:t>
            </w:r>
            <w:r>
              <w:rPr>
                <w:rFonts w:hint="default" w:ascii="Times New Roman" w:hAnsi="Times New Roman" w:eastAsia="宋体" w:cs="Times New Roman"/>
                <w:b w:val="0"/>
                <w:bCs w:val="0"/>
                <w:sz w:val="21"/>
                <w:szCs w:val="21"/>
                <w:lang w:val="en-US" w:eastAsia="zh-CN"/>
              </w:rPr>
              <w:t>理风量</w:t>
            </w:r>
            <w:r>
              <w:rPr>
                <w:rFonts w:hint="eastAsia"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en-US" w:eastAsia="zh-CN"/>
              </w:rPr>
              <w:t>4000m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lang w:val="en-US" w:eastAsia="zh-CN"/>
              </w:rPr>
              <w:t>/h</w:t>
            </w:r>
            <w:r>
              <w:rPr>
                <w:rFonts w:hint="eastAsia" w:ascii="Times New Roman" w:hAnsi="Times New Roman" w:eastAsia="宋体" w:cs="Times New Roman"/>
                <w:b w:val="0"/>
                <w:bCs w:val="0"/>
                <w:sz w:val="21"/>
                <w:szCs w:val="21"/>
                <w:lang w:val="en-US" w:eastAsia="zh-CN"/>
              </w:rPr>
              <w:t>；</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3 \* GB3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③</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b w:val="0"/>
                <w:bCs w:val="0"/>
                <w:sz w:val="21"/>
                <w:szCs w:val="21"/>
                <w:lang w:val="en-US" w:eastAsia="zh-CN"/>
              </w:rPr>
              <w:t>功率</w:t>
            </w:r>
            <w:r>
              <w:rPr>
                <w:rFonts w:hint="eastAsia"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en-US" w:eastAsia="zh-CN"/>
              </w:rPr>
              <w:t>100W，额定电压</w:t>
            </w:r>
            <w:r>
              <w:rPr>
                <w:rFonts w:hint="eastAsia"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val="en-US" w:eastAsia="zh-CN"/>
              </w:rPr>
              <w:t>220V</w:t>
            </w:r>
          </w:p>
        </w:tc>
        <w:tc>
          <w:tcPr>
            <w:tcW w:w="722" w:type="dxa"/>
            <w:vMerge w:val="continue"/>
            <w:vAlign w:val="center"/>
          </w:tcPr>
          <w:p>
            <w:pPr>
              <w:bidi w:val="0"/>
              <w:jc w:val="center"/>
              <w:rPr>
                <w:rFonts w:hint="default" w:ascii="Times New Roman" w:hAnsi="Times New Roman" w:eastAsia="宋体" w:cs="Times New Roman"/>
                <w:sz w:val="21"/>
                <w:szCs w:val="21"/>
                <w:lang w:val="en-US" w:eastAsia="zh-CN"/>
              </w:rPr>
            </w:pPr>
          </w:p>
        </w:tc>
      </w:tr>
    </w:tbl>
    <w:p>
      <w:pPr>
        <w:pStyle w:val="17"/>
        <w:bidi w:val="0"/>
        <w:rPr>
          <w:rFonts w:hint="eastAsia"/>
          <w:lang w:val="en-US" w:eastAsia="zh-CN"/>
        </w:rPr>
      </w:pPr>
      <w:r>
        <w:rPr>
          <w:rFonts w:hint="eastAsia"/>
          <w:lang w:val="en-US" w:eastAsia="zh-CN"/>
        </w:rPr>
        <w:t>4.1.3 噪声</w:t>
      </w:r>
    </w:p>
    <w:p>
      <w:pPr>
        <w:pStyle w:val="9"/>
        <w:bidi w:val="0"/>
        <w:rPr>
          <w:rFonts w:hint="eastAsia"/>
          <w:highlight w:val="none"/>
          <w:lang w:val="en-US" w:eastAsia="zh-CN"/>
        </w:rPr>
      </w:pPr>
      <w:r>
        <w:rPr>
          <w:rFonts w:hint="eastAsia"/>
          <w:lang w:val="en-US" w:eastAsia="zh-CN"/>
        </w:rPr>
        <w:t>本项目主要噪</w:t>
      </w:r>
      <w:r>
        <w:rPr>
          <w:rFonts w:hint="eastAsia"/>
          <w:highlight w:val="none"/>
          <w:lang w:val="en-US" w:eastAsia="zh-CN"/>
        </w:rPr>
        <w:t>声源为皮带运输机、搅拌机运行产生的噪声，混凝土运输车、装载机运输产生的噪声，噪声源强为70~85dB（A）。通过选用低噪设备，皮带运输机全封闭，搅拌机设置在搅拌楼内且搅拌楼密闭处理，装载运输路线均在封闭场的范围内等措施降噪。</w:t>
      </w:r>
    </w:p>
    <w:p>
      <w:pPr>
        <w:pStyle w:val="13"/>
        <w:bidi w:val="0"/>
        <w:rPr>
          <w:rFonts w:hint="eastAsia"/>
          <w:highlight w:val="none"/>
          <w:lang w:val="en-US" w:eastAsia="zh-CN"/>
        </w:rPr>
      </w:pPr>
      <w:r>
        <w:rPr>
          <w:rFonts w:hint="eastAsia"/>
          <w:highlight w:val="none"/>
          <w:lang w:val="en-US" w:eastAsia="zh-CN"/>
        </w:rPr>
        <w:t>表4.1-3    项目噪声源强及治理措施一览表    单位：dB(A)</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823"/>
        <w:gridCol w:w="840"/>
        <w:gridCol w:w="830"/>
        <w:gridCol w:w="841"/>
        <w:gridCol w:w="772"/>
        <w:gridCol w:w="772"/>
        <w:gridCol w:w="772"/>
        <w:gridCol w:w="1212"/>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886" w:type="dxa"/>
            <w:vMerge w:val="restart"/>
            <w:vAlign w:val="center"/>
          </w:tcPr>
          <w:p>
            <w:pPr>
              <w:bidi w:val="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噪声源</w:t>
            </w:r>
          </w:p>
        </w:tc>
        <w:tc>
          <w:tcPr>
            <w:tcW w:w="823"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数量</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（台）</w:t>
            </w:r>
          </w:p>
        </w:tc>
        <w:tc>
          <w:tcPr>
            <w:tcW w:w="840"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噪声声级</w:t>
            </w:r>
          </w:p>
        </w:tc>
        <w:tc>
          <w:tcPr>
            <w:tcW w:w="830" w:type="dxa"/>
            <w:vMerge w:val="restart"/>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所在</w:t>
            </w:r>
          </w:p>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位置</w:t>
            </w:r>
          </w:p>
        </w:tc>
        <w:tc>
          <w:tcPr>
            <w:tcW w:w="3157" w:type="dxa"/>
            <w:gridSpan w:val="4"/>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离厂界最近水平距离（m）</w:t>
            </w:r>
          </w:p>
        </w:tc>
        <w:tc>
          <w:tcPr>
            <w:tcW w:w="1212"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治理措施</w:t>
            </w:r>
          </w:p>
        </w:tc>
        <w:tc>
          <w:tcPr>
            <w:tcW w:w="774" w:type="dxa"/>
            <w:vMerge w:val="restart"/>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降噪效果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886" w:type="dxa"/>
            <w:vMerge w:val="continue"/>
            <w:vAlign w:val="center"/>
          </w:tcPr>
          <w:p>
            <w:pPr>
              <w:bidi w:val="0"/>
              <w:jc w:val="center"/>
              <w:rPr>
                <w:rFonts w:hint="default" w:ascii="Times New Roman" w:hAnsi="Times New Roman" w:eastAsia="宋体" w:cs="Times New Roman"/>
                <w:sz w:val="21"/>
                <w:szCs w:val="21"/>
              </w:rPr>
            </w:pPr>
          </w:p>
        </w:tc>
        <w:tc>
          <w:tcPr>
            <w:tcW w:w="823" w:type="dxa"/>
            <w:vMerge w:val="continue"/>
            <w:vAlign w:val="center"/>
          </w:tcPr>
          <w:p>
            <w:pPr>
              <w:bidi w:val="0"/>
              <w:jc w:val="center"/>
              <w:rPr>
                <w:rFonts w:hint="default" w:ascii="Times New Roman" w:hAnsi="Times New Roman" w:eastAsia="宋体" w:cs="Times New Roman"/>
                <w:sz w:val="21"/>
                <w:szCs w:val="21"/>
              </w:rPr>
            </w:pPr>
          </w:p>
        </w:tc>
        <w:tc>
          <w:tcPr>
            <w:tcW w:w="840" w:type="dxa"/>
            <w:vMerge w:val="continue"/>
            <w:vAlign w:val="center"/>
          </w:tcPr>
          <w:p>
            <w:pPr>
              <w:bidi w:val="0"/>
              <w:jc w:val="center"/>
              <w:rPr>
                <w:rFonts w:hint="default" w:ascii="Times New Roman" w:hAnsi="Times New Roman" w:eastAsia="宋体" w:cs="Times New Roman"/>
                <w:sz w:val="21"/>
                <w:szCs w:val="21"/>
              </w:rPr>
            </w:pPr>
          </w:p>
        </w:tc>
        <w:tc>
          <w:tcPr>
            <w:tcW w:w="830" w:type="dxa"/>
            <w:vMerge w:val="continue"/>
            <w:vAlign w:val="center"/>
          </w:tcPr>
          <w:p>
            <w:pPr>
              <w:bidi w:val="0"/>
              <w:jc w:val="center"/>
              <w:rPr>
                <w:rFonts w:hint="default" w:ascii="Times New Roman" w:hAnsi="Times New Roman" w:eastAsia="宋体" w:cs="Times New Roman"/>
                <w:sz w:val="21"/>
                <w:szCs w:val="21"/>
              </w:rPr>
            </w:pPr>
          </w:p>
        </w:tc>
        <w:tc>
          <w:tcPr>
            <w:tcW w:w="841"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E</w:t>
            </w:r>
          </w:p>
        </w:tc>
        <w:tc>
          <w:tcPr>
            <w:tcW w:w="772"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S</w:t>
            </w:r>
          </w:p>
        </w:tc>
        <w:tc>
          <w:tcPr>
            <w:tcW w:w="772"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w:t>
            </w:r>
          </w:p>
        </w:tc>
        <w:tc>
          <w:tcPr>
            <w:tcW w:w="772"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N</w:t>
            </w:r>
          </w:p>
        </w:tc>
        <w:tc>
          <w:tcPr>
            <w:tcW w:w="1212" w:type="dxa"/>
            <w:vMerge w:val="continue"/>
            <w:vAlign w:val="center"/>
          </w:tcPr>
          <w:p>
            <w:pPr>
              <w:bidi w:val="0"/>
              <w:jc w:val="center"/>
              <w:rPr>
                <w:rFonts w:hint="default" w:ascii="Times New Roman" w:hAnsi="Times New Roman" w:eastAsia="宋体" w:cs="Times New Roman"/>
                <w:sz w:val="21"/>
                <w:szCs w:val="21"/>
                <w:lang w:eastAsia="zh-CN"/>
              </w:rPr>
            </w:pPr>
          </w:p>
        </w:tc>
        <w:tc>
          <w:tcPr>
            <w:tcW w:w="774" w:type="dxa"/>
            <w:vMerge w:val="continue"/>
            <w:vAlign w:val="center"/>
          </w:tcPr>
          <w:p>
            <w:pPr>
              <w:bidi w:val="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886"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皮带运输机</w:t>
            </w:r>
          </w:p>
        </w:tc>
        <w:tc>
          <w:tcPr>
            <w:tcW w:w="82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4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70~80</w:t>
            </w:r>
          </w:p>
        </w:tc>
        <w:tc>
          <w:tcPr>
            <w:tcW w:w="83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厂区西侧</w:t>
            </w:r>
          </w:p>
        </w:tc>
        <w:tc>
          <w:tcPr>
            <w:tcW w:w="84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50~53</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10~14</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10~10</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42~45</w:t>
            </w:r>
          </w:p>
        </w:tc>
        <w:tc>
          <w:tcPr>
            <w:tcW w:w="1212"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皮带运输机全封闭</w:t>
            </w:r>
          </w:p>
        </w:tc>
        <w:tc>
          <w:tcPr>
            <w:tcW w:w="774"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886"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搅拌机</w:t>
            </w:r>
          </w:p>
        </w:tc>
        <w:tc>
          <w:tcPr>
            <w:tcW w:w="82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84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75~85</w:t>
            </w:r>
          </w:p>
        </w:tc>
        <w:tc>
          <w:tcPr>
            <w:tcW w:w="83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厂区北侧</w:t>
            </w:r>
          </w:p>
        </w:tc>
        <w:tc>
          <w:tcPr>
            <w:tcW w:w="84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57~59</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70~72</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39~41</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43~45</w:t>
            </w:r>
          </w:p>
        </w:tc>
        <w:tc>
          <w:tcPr>
            <w:tcW w:w="1212"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搅拌机设置在搅拌楼内，搅拌楼密闭</w:t>
            </w:r>
          </w:p>
        </w:tc>
        <w:tc>
          <w:tcPr>
            <w:tcW w:w="774"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886"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混凝土运输机</w:t>
            </w:r>
          </w:p>
        </w:tc>
        <w:tc>
          <w:tcPr>
            <w:tcW w:w="82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4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70~80</w:t>
            </w:r>
          </w:p>
        </w:tc>
        <w:tc>
          <w:tcPr>
            <w:tcW w:w="830" w:type="dxa"/>
            <w:vMerge w:val="restart"/>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厂区运输时</w:t>
            </w:r>
          </w:p>
        </w:tc>
        <w:tc>
          <w:tcPr>
            <w:tcW w:w="84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12" w:type="dxa"/>
            <w:vMerge w:val="restart"/>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运输线路均在封闭场范围内</w:t>
            </w:r>
          </w:p>
        </w:tc>
        <w:tc>
          <w:tcPr>
            <w:tcW w:w="774" w:type="dxa"/>
            <w:vMerge w:val="restart"/>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886"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装载机</w:t>
            </w:r>
          </w:p>
        </w:tc>
        <w:tc>
          <w:tcPr>
            <w:tcW w:w="82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840"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70~80</w:t>
            </w:r>
          </w:p>
        </w:tc>
        <w:tc>
          <w:tcPr>
            <w:tcW w:w="830" w:type="dxa"/>
            <w:vMerge w:val="continue"/>
            <w:vAlign w:val="center"/>
          </w:tcPr>
          <w:p>
            <w:pPr>
              <w:bidi w:val="0"/>
              <w:jc w:val="center"/>
              <w:rPr>
                <w:rFonts w:hint="eastAsia" w:ascii="Times New Roman" w:hAnsi="Times New Roman" w:eastAsia="宋体" w:cs="Times New Roman"/>
                <w:sz w:val="21"/>
                <w:szCs w:val="21"/>
                <w:lang w:val="en-US" w:eastAsia="zh-CN"/>
              </w:rPr>
            </w:pPr>
          </w:p>
        </w:tc>
        <w:tc>
          <w:tcPr>
            <w:tcW w:w="84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72"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12" w:type="dxa"/>
            <w:vMerge w:val="continue"/>
            <w:vAlign w:val="center"/>
          </w:tcPr>
          <w:p>
            <w:pPr>
              <w:bidi w:val="0"/>
              <w:jc w:val="center"/>
              <w:rPr>
                <w:rFonts w:hint="eastAsia" w:ascii="Times New Roman" w:hAnsi="Times New Roman" w:eastAsia="宋体" w:cs="Times New Roman"/>
                <w:sz w:val="21"/>
                <w:szCs w:val="21"/>
                <w:lang w:eastAsia="zh-CN"/>
              </w:rPr>
            </w:pPr>
          </w:p>
        </w:tc>
        <w:tc>
          <w:tcPr>
            <w:tcW w:w="774" w:type="dxa"/>
            <w:vMerge w:val="continue"/>
            <w:vAlign w:val="center"/>
          </w:tcPr>
          <w:p>
            <w:pPr>
              <w:bidi w:val="0"/>
              <w:jc w:val="center"/>
              <w:rPr>
                <w:rFonts w:hint="eastAsia" w:ascii="Times New Roman" w:hAnsi="Times New Roman" w:eastAsia="宋体" w:cs="Times New Roman"/>
                <w:sz w:val="21"/>
                <w:szCs w:val="21"/>
                <w:lang w:val="en-US" w:eastAsia="zh-CN"/>
              </w:rPr>
            </w:pPr>
          </w:p>
        </w:tc>
      </w:tr>
    </w:tbl>
    <w:p>
      <w:pPr>
        <w:bidi w:val="0"/>
        <w:rPr>
          <w:rFonts w:hint="eastAsia"/>
          <w:lang w:val="en-US" w:eastAsia="zh-CN"/>
        </w:rPr>
      </w:pPr>
    </w:p>
    <w:p>
      <w:pPr>
        <w:pStyle w:val="17"/>
        <w:bidi w:val="0"/>
        <w:rPr>
          <w:rFonts w:hint="eastAsia"/>
          <w:lang w:val="en-US" w:eastAsia="zh-CN"/>
        </w:rPr>
      </w:pPr>
      <w:r>
        <w:rPr>
          <w:rFonts w:hint="eastAsia"/>
          <w:lang w:val="en-US" w:eastAsia="zh-CN"/>
        </w:rPr>
        <w:t>4.1.4 固体废物</w:t>
      </w:r>
    </w:p>
    <w:p>
      <w:pPr>
        <w:pStyle w:val="9"/>
        <w:bidi w:val="0"/>
        <w:rPr>
          <w:rFonts w:hint="eastAsia"/>
          <w:highlight w:val="none"/>
          <w:lang w:val="en-US" w:eastAsia="zh-CN"/>
        </w:rPr>
      </w:pPr>
      <w:r>
        <w:rPr>
          <w:rFonts w:hint="eastAsia"/>
          <w:highlight w:val="none"/>
          <w:lang w:val="en-US" w:eastAsia="zh-CN"/>
        </w:rPr>
        <w:t>本项目产生的固体废物如下：</w:t>
      </w:r>
    </w:p>
    <w:p>
      <w:pPr>
        <w:pStyle w:val="9"/>
        <w:bidi w:val="0"/>
        <w:rPr>
          <w:rFonts w:hint="eastAsia"/>
          <w:highlight w:val="none"/>
          <w:lang w:val="en-US" w:eastAsia="zh-CN"/>
        </w:rPr>
      </w:pPr>
      <w:r>
        <w:rPr>
          <w:rFonts w:hint="eastAsia"/>
          <w:highlight w:val="none"/>
          <w:lang w:val="en-US" w:eastAsia="zh-CN"/>
        </w:rPr>
        <w:t>1、一般固体废物：</w:t>
      </w:r>
    </w:p>
    <w:p>
      <w:pPr>
        <w:pStyle w:val="9"/>
        <w:bidi w:val="0"/>
        <w:rPr>
          <w:rFonts w:hint="eastAsia"/>
          <w:highlight w:val="none"/>
          <w:lang w:val="en-US" w:eastAsia="zh-CN"/>
        </w:rPr>
      </w:pPr>
      <w:r>
        <w:rPr>
          <w:rFonts w:hint="eastAsia"/>
          <w:highlight w:val="none"/>
          <w:lang w:val="en-US" w:eastAsia="zh-CN"/>
        </w:rPr>
        <w:t>（1）脉冲袋式除尘器处理的粉尘</w:t>
      </w:r>
    </w:p>
    <w:p>
      <w:pPr>
        <w:pStyle w:val="9"/>
        <w:bidi w:val="0"/>
        <w:rPr>
          <w:rFonts w:hint="default"/>
          <w:highlight w:val="none"/>
          <w:lang w:val="en-US" w:eastAsia="zh-CN"/>
        </w:rPr>
      </w:pPr>
      <w:r>
        <w:rPr>
          <w:rFonts w:hint="eastAsia"/>
          <w:highlight w:val="none"/>
          <w:lang w:val="en-US" w:eastAsia="zh-CN"/>
        </w:rPr>
        <w:t>项目脉冲袋式除尘器收集处理的粉尘约52.83t/a，收集粉尘集中收集后回用于生产。</w:t>
      </w:r>
    </w:p>
    <w:p>
      <w:pPr>
        <w:pStyle w:val="9"/>
        <w:bidi w:val="0"/>
        <w:rPr>
          <w:rFonts w:hint="eastAsia"/>
          <w:highlight w:val="none"/>
          <w:lang w:val="en-US" w:eastAsia="zh-CN"/>
        </w:rPr>
      </w:pPr>
      <w:r>
        <w:rPr>
          <w:rFonts w:hint="eastAsia"/>
          <w:highlight w:val="none"/>
          <w:lang w:val="en-US" w:eastAsia="zh-CN"/>
        </w:rPr>
        <w:t>（2）沉淀池砂石</w:t>
      </w:r>
    </w:p>
    <w:p>
      <w:pPr>
        <w:pStyle w:val="9"/>
        <w:bidi w:val="0"/>
        <w:rPr>
          <w:rFonts w:hint="eastAsia"/>
          <w:highlight w:val="none"/>
          <w:lang w:val="en-US" w:eastAsia="zh-CN"/>
        </w:rPr>
      </w:pPr>
      <w:r>
        <w:rPr>
          <w:rFonts w:hint="eastAsia"/>
          <w:highlight w:val="none"/>
          <w:lang w:val="en-US" w:eastAsia="zh-CN"/>
        </w:rPr>
        <w:t>设备冲洗废水经砂石分离机和沉淀池处理后回用于生产，沉淀池砂石产生量约为21t/a，集中收集后回用于生产。</w:t>
      </w:r>
    </w:p>
    <w:p>
      <w:pPr>
        <w:pStyle w:val="9"/>
        <w:bidi w:val="0"/>
        <w:rPr>
          <w:rFonts w:hint="default"/>
          <w:highlight w:val="none"/>
          <w:lang w:val="en-US" w:eastAsia="zh-CN"/>
        </w:rPr>
      </w:pPr>
      <w:r>
        <w:rPr>
          <w:rFonts w:hint="eastAsia"/>
          <w:highlight w:val="none"/>
          <w:lang w:val="en-US" w:eastAsia="zh-CN"/>
        </w:rPr>
        <w:t>2、生活垃圾</w:t>
      </w:r>
    </w:p>
    <w:p>
      <w:pPr>
        <w:pStyle w:val="9"/>
        <w:bidi w:val="0"/>
        <w:rPr>
          <w:rFonts w:hint="default"/>
          <w:highlight w:val="none"/>
          <w:lang w:val="en-US" w:eastAsia="zh-CN"/>
        </w:rPr>
      </w:pPr>
      <w:r>
        <w:rPr>
          <w:rFonts w:hint="eastAsia"/>
          <w:highlight w:val="none"/>
          <w:lang w:val="en-US" w:eastAsia="zh-CN"/>
        </w:rPr>
        <w:t>本项目职工生活垃圾产生量约5.85吨，生活垃圾袋装化，交由环卫部门统一清运处理。</w:t>
      </w:r>
    </w:p>
    <w:p>
      <w:pPr>
        <w:pStyle w:val="13"/>
        <w:bidi w:val="0"/>
        <w:rPr>
          <w:rFonts w:hint="eastAsia"/>
          <w:highlight w:val="none"/>
          <w:lang w:val="en-US" w:eastAsia="zh-CN"/>
        </w:rPr>
      </w:pPr>
      <w:r>
        <w:rPr>
          <w:rFonts w:hint="eastAsia"/>
          <w:highlight w:val="none"/>
          <w:lang w:val="en-US" w:eastAsia="zh-CN"/>
        </w:rPr>
        <w:t>表4.1-4    项目区固体废物处置措施一览表</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639"/>
        <w:gridCol w:w="983"/>
        <w:gridCol w:w="1175"/>
        <w:gridCol w:w="1300"/>
        <w:gridCol w:w="1379"/>
        <w:gridCol w:w="955"/>
        <w:gridCol w:w="209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639" w:type="dxa"/>
            <w:tcBorders>
              <w:bottom w:val="single" w:color="000000" w:sz="8" w:space="0"/>
              <w:right w:val="single" w:color="000000" w:sz="8"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序号</w:t>
            </w:r>
          </w:p>
        </w:tc>
        <w:tc>
          <w:tcPr>
            <w:tcW w:w="983" w:type="dxa"/>
            <w:tcBorders>
              <w:bottom w:val="single" w:color="000000" w:sz="8" w:space="0"/>
              <w:right w:val="single" w:color="000000" w:sz="8"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类别</w:t>
            </w:r>
          </w:p>
        </w:tc>
        <w:tc>
          <w:tcPr>
            <w:tcW w:w="1175" w:type="dxa"/>
            <w:tcBorders>
              <w:left w:val="single" w:color="000000" w:sz="8" w:space="0"/>
              <w:bottom w:val="single" w:color="000000" w:sz="8" w:space="0"/>
              <w:right w:val="single" w:color="000000" w:sz="8"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固体废物</w:t>
            </w:r>
          </w:p>
        </w:tc>
        <w:tc>
          <w:tcPr>
            <w:tcW w:w="1300" w:type="dxa"/>
            <w:tcBorders>
              <w:left w:val="single" w:color="000000" w:sz="8" w:space="0"/>
              <w:bottom w:val="single" w:color="000000" w:sz="8" w:space="0"/>
              <w:right w:val="single" w:color="000000" w:sz="8"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产生工序</w:t>
            </w:r>
          </w:p>
        </w:tc>
        <w:tc>
          <w:tcPr>
            <w:tcW w:w="1379" w:type="dxa"/>
            <w:tcBorders>
              <w:left w:val="single" w:color="000000" w:sz="8" w:space="0"/>
              <w:bottom w:val="single" w:color="000000" w:sz="8" w:space="0"/>
              <w:right w:val="single" w:color="000000" w:sz="8" w:space="0"/>
            </w:tcBorders>
            <w:vAlign w:val="center"/>
          </w:tcPr>
          <w:p>
            <w:pPr>
              <w:bidi w:val="0"/>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废物</w:t>
            </w:r>
            <w:r>
              <w:rPr>
                <w:rFonts w:hint="default" w:ascii="Times New Roman" w:hAnsi="Times New Roman" w:eastAsia="宋体" w:cs="Times New Roman"/>
                <w:b/>
                <w:bCs/>
                <w:sz w:val="21"/>
                <w:szCs w:val="21"/>
                <w:lang w:eastAsia="zh-CN"/>
              </w:rPr>
              <w:t>代码</w:t>
            </w:r>
          </w:p>
        </w:tc>
        <w:tc>
          <w:tcPr>
            <w:tcW w:w="955" w:type="dxa"/>
            <w:tcBorders>
              <w:left w:val="single" w:color="000000" w:sz="8" w:space="0"/>
              <w:bottom w:val="single" w:color="000000" w:sz="8" w:space="0"/>
              <w:right w:val="single" w:color="000000" w:sz="8"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t/a</w:t>
            </w:r>
            <w:r>
              <w:rPr>
                <w:rFonts w:hint="eastAsia" w:ascii="Times New Roman" w:hAnsi="Times New Roman" w:eastAsia="宋体" w:cs="Times New Roman"/>
                <w:b/>
                <w:bCs/>
                <w:sz w:val="21"/>
                <w:szCs w:val="21"/>
                <w:lang w:eastAsia="zh-CN"/>
              </w:rPr>
              <w:t>）</w:t>
            </w:r>
          </w:p>
        </w:tc>
        <w:tc>
          <w:tcPr>
            <w:tcW w:w="2091" w:type="dxa"/>
            <w:tcBorders>
              <w:left w:val="single" w:color="000000" w:sz="8" w:space="0"/>
              <w:bottom w:val="single" w:color="000000" w:sz="8"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处理处置去向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914" w:hRule="atLeast"/>
        </w:trPr>
        <w:tc>
          <w:tcPr>
            <w:tcW w:w="639" w:type="dxa"/>
            <w:vMerge w:val="restart"/>
            <w:tcBorders>
              <w:top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983" w:type="dxa"/>
            <w:vMerge w:val="restart"/>
            <w:tcBorders>
              <w:top w:val="single" w:color="000000" w:sz="8" w:space="0"/>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w:t>
            </w:r>
          </w:p>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p>
        </w:tc>
        <w:tc>
          <w:tcPr>
            <w:tcW w:w="1175" w:type="dxa"/>
            <w:tcBorders>
              <w:top w:val="single" w:color="000000" w:sz="8" w:space="0"/>
              <w:left w:val="single" w:color="000000" w:sz="8" w:space="0"/>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脉冲袋式除尘器处理粉尘</w:t>
            </w:r>
          </w:p>
        </w:tc>
        <w:tc>
          <w:tcPr>
            <w:tcW w:w="1300" w:type="dxa"/>
            <w:tcBorders>
              <w:left w:val="single" w:color="000000" w:sz="8" w:space="0"/>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圆筒料仓上料、搅拌主楼下料</w:t>
            </w:r>
          </w:p>
        </w:tc>
        <w:tc>
          <w:tcPr>
            <w:tcW w:w="1379" w:type="dxa"/>
            <w:tcBorders>
              <w:top w:val="single" w:color="000000" w:sz="8" w:space="0"/>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55" w:type="dxa"/>
            <w:tcBorders>
              <w:top w:val="single" w:color="000000" w:sz="8" w:space="0"/>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52.83</w:t>
            </w:r>
          </w:p>
        </w:tc>
        <w:tc>
          <w:tcPr>
            <w:tcW w:w="2091" w:type="dxa"/>
            <w:tcBorders>
              <w:lef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639" w:type="dxa"/>
            <w:vMerge w:val="continue"/>
            <w:tcBorders>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p>
        </w:tc>
        <w:tc>
          <w:tcPr>
            <w:tcW w:w="983" w:type="dxa"/>
            <w:vMerge w:val="continue"/>
            <w:tcBorders>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p>
        </w:tc>
        <w:tc>
          <w:tcPr>
            <w:tcW w:w="1175" w:type="dxa"/>
            <w:tcBorders>
              <w:top w:val="single" w:color="000000" w:sz="8" w:space="0"/>
              <w:left w:val="single" w:color="000000" w:sz="8" w:space="0"/>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沉淀池</w:t>
            </w:r>
          </w:p>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砂石</w:t>
            </w:r>
          </w:p>
        </w:tc>
        <w:tc>
          <w:tcPr>
            <w:tcW w:w="1300" w:type="dxa"/>
            <w:tcBorders>
              <w:left w:val="single" w:color="000000" w:sz="8" w:space="0"/>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生产废水处理</w:t>
            </w:r>
          </w:p>
        </w:tc>
        <w:tc>
          <w:tcPr>
            <w:tcW w:w="1379" w:type="dxa"/>
            <w:tcBorders>
              <w:top w:val="single" w:color="000000" w:sz="8" w:space="0"/>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55" w:type="dxa"/>
            <w:tcBorders>
              <w:top w:val="single" w:color="000000" w:sz="8" w:space="0"/>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2091" w:type="dxa"/>
            <w:tcBorders>
              <w:lef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639" w:type="dxa"/>
            <w:tcBorders>
              <w:top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983" w:type="dxa"/>
            <w:tcBorders>
              <w:top w:val="single" w:color="000000" w:sz="8" w:space="0"/>
              <w:right w:val="single" w:color="000000" w:sz="8" w:space="0"/>
            </w:tcBorders>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w:t>
            </w: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垃圾</w:t>
            </w:r>
          </w:p>
        </w:tc>
        <w:tc>
          <w:tcPr>
            <w:tcW w:w="1175" w:type="dxa"/>
            <w:tcBorders>
              <w:top w:val="single" w:color="000000" w:sz="8" w:space="0"/>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生活垃圾</w:t>
            </w:r>
          </w:p>
        </w:tc>
        <w:tc>
          <w:tcPr>
            <w:tcW w:w="1300" w:type="dxa"/>
            <w:tcBorders>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职工生活</w:t>
            </w:r>
          </w:p>
        </w:tc>
        <w:tc>
          <w:tcPr>
            <w:tcW w:w="1379" w:type="dxa"/>
            <w:tcBorders>
              <w:top w:val="single" w:color="000000" w:sz="8" w:space="0"/>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55" w:type="dxa"/>
            <w:tcBorders>
              <w:top w:val="single" w:color="000000" w:sz="8" w:space="0"/>
              <w:left w:val="single" w:color="000000" w:sz="8" w:space="0"/>
              <w:righ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5.85</w:t>
            </w:r>
          </w:p>
        </w:tc>
        <w:tc>
          <w:tcPr>
            <w:tcW w:w="2091" w:type="dxa"/>
            <w:tcBorders>
              <w:left w:val="single" w:color="000000" w:sz="8"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生活垃圾袋装化，交由环卫部门统一清运处理</w:t>
            </w:r>
          </w:p>
        </w:tc>
      </w:tr>
    </w:tbl>
    <w:p>
      <w:pPr>
        <w:pStyle w:val="16"/>
        <w:bidi w:val="0"/>
        <w:rPr>
          <w:rFonts w:hint="eastAsia"/>
          <w:sz w:val="24"/>
          <w:szCs w:val="22"/>
          <w:lang w:val="en-US" w:eastAsia="zh-CN"/>
        </w:rPr>
      </w:pPr>
      <w:bookmarkStart w:id="16" w:name="_Toc5904"/>
      <w:r>
        <w:rPr>
          <w:rFonts w:hint="eastAsia"/>
          <w:sz w:val="24"/>
          <w:szCs w:val="22"/>
          <w:lang w:val="en-US" w:eastAsia="zh-CN"/>
        </w:rPr>
        <w:t>4.2 环保设施投资及“三同时”落实情况</w:t>
      </w:r>
      <w:bookmarkEnd w:id="16"/>
    </w:p>
    <w:p>
      <w:pPr>
        <w:pStyle w:val="9"/>
        <w:bidi w:val="0"/>
        <w:rPr>
          <w:rFonts w:hint="eastAsia"/>
          <w:lang w:val="en-US" w:eastAsia="zh-CN"/>
        </w:rPr>
      </w:pPr>
      <w:r>
        <w:rPr>
          <w:rFonts w:hint="eastAsia"/>
          <w:lang w:val="en-US" w:eastAsia="zh-CN"/>
        </w:rPr>
        <w:t>该项目实际总投资1584万元，其中环保投资270万元，占总投资17.05%。</w:t>
      </w:r>
    </w:p>
    <w:p>
      <w:pPr>
        <w:pStyle w:val="13"/>
        <w:bidi w:val="0"/>
        <w:rPr>
          <w:rFonts w:hint="eastAsia"/>
          <w:color w:val="auto"/>
          <w:lang w:val="en-US" w:eastAsia="zh-CN"/>
        </w:rPr>
      </w:pPr>
      <w:r>
        <w:rPr>
          <w:rFonts w:hint="eastAsia"/>
          <w:color w:val="auto"/>
          <w:lang w:val="en-US" w:eastAsia="zh-CN"/>
        </w:rPr>
        <w:t>表4.2-1   项目实际环保投资一览表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003"/>
        <w:gridCol w:w="3346"/>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Align w:val="center"/>
          </w:tcPr>
          <w:p>
            <w:pPr>
              <w:bidi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类型</w:t>
            </w:r>
          </w:p>
        </w:tc>
        <w:tc>
          <w:tcPr>
            <w:tcW w:w="2003" w:type="dxa"/>
            <w:vAlign w:val="center"/>
          </w:tcPr>
          <w:p>
            <w:pPr>
              <w:bidi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处理对象</w:t>
            </w:r>
          </w:p>
        </w:tc>
        <w:tc>
          <w:tcPr>
            <w:tcW w:w="3346" w:type="dxa"/>
            <w:vAlign w:val="center"/>
          </w:tcPr>
          <w:p>
            <w:pPr>
              <w:bidi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治理措施或设备</w:t>
            </w:r>
          </w:p>
        </w:tc>
        <w:tc>
          <w:tcPr>
            <w:tcW w:w="2098" w:type="dxa"/>
            <w:vAlign w:val="center"/>
          </w:tcPr>
          <w:p>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Merge w:val="restart"/>
            <w:vAlign w:val="center"/>
          </w:tcPr>
          <w:p>
            <w:pPr>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大气</w:t>
            </w:r>
          </w:p>
        </w:tc>
        <w:tc>
          <w:tcPr>
            <w:tcW w:w="2003"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圆筒料仓上料粉尘</w:t>
            </w:r>
          </w:p>
        </w:tc>
        <w:tc>
          <w:tcPr>
            <w:tcW w:w="3346"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脉冲袋式除尘器</w:t>
            </w:r>
            <w:r>
              <w:rPr>
                <w:rFonts w:hint="eastAsia" w:ascii="Times New Roman" w:hAnsi="Times New Roman" w:eastAsia="宋体" w:cs="Times New Roman"/>
                <w:color w:val="auto"/>
                <w:sz w:val="21"/>
                <w:szCs w:val="21"/>
                <w:lang w:val="en-US" w:eastAsia="zh-CN"/>
              </w:rPr>
              <w:t>+25m排气筒</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Merge w:val="continue"/>
            <w:vAlign w:val="center"/>
          </w:tcPr>
          <w:p>
            <w:pPr>
              <w:bidi w:val="0"/>
              <w:jc w:val="center"/>
              <w:rPr>
                <w:rFonts w:hint="default" w:ascii="Times New Roman" w:hAnsi="Times New Roman" w:eastAsia="宋体" w:cs="Times New Roman"/>
                <w:color w:val="auto"/>
                <w:sz w:val="21"/>
                <w:szCs w:val="21"/>
                <w:lang w:eastAsia="zh-CN"/>
              </w:rPr>
            </w:pPr>
          </w:p>
        </w:tc>
        <w:tc>
          <w:tcPr>
            <w:tcW w:w="2003"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搅拌主楼下料粉尘</w:t>
            </w:r>
          </w:p>
        </w:tc>
        <w:tc>
          <w:tcPr>
            <w:tcW w:w="3346"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脉冲袋式除尘器、搅拌主楼封闭、</w:t>
            </w:r>
            <w:r>
              <w:rPr>
                <w:rFonts w:hint="eastAsia" w:ascii="Times New Roman" w:hAnsi="Times New Roman" w:eastAsia="宋体" w:cs="Times New Roman"/>
                <w:color w:val="auto"/>
                <w:sz w:val="21"/>
                <w:szCs w:val="21"/>
                <w:lang w:val="en-US" w:eastAsia="zh-CN"/>
              </w:rPr>
              <w:t>皮带运输机全封闭、喷淋洒水器</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Merge w:val="continue"/>
            <w:vAlign w:val="center"/>
          </w:tcPr>
          <w:p>
            <w:pPr>
              <w:bidi w:val="0"/>
              <w:jc w:val="center"/>
              <w:rPr>
                <w:rFonts w:hint="default" w:ascii="Times New Roman" w:hAnsi="Times New Roman" w:eastAsia="宋体" w:cs="Times New Roman"/>
                <w:color w:val="auto"/>
                <w:sz w:val="21"/>
                <w:szCs w:val="21"/>
                <w:lang w:eastAsia="zh-CN"/>
              </w:rPr>
            </w:pPr>
          </w:p>
        </w:tc>
        <w:tc>
          <w:tcPr>
            <w:tcW w:w="2003" w:type="dxa"/>
            <w:vAlign w:val="center"/>
          </w:tcPr>
          <w:p>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料场堆放粉尘</w:t>
            </w:r>
          </w:p>
        </w:tc>
        <w:tc>
          <w:tcPr>
            <w:tcW w:w="3346" w:type="dxa"/>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料场半封闭顶盖</w:t>
            </w:r>
            <w:r>
              <w:rPr>
                <w:rFonts w:hint="eastAsia" w:ascii="Times New Roman" w:hAnsi="Times New Roman" w:eastAsia="宋体" w:cs="Times New Roman"/>
                <w:color w:val="auto"/>
                <w:sz w:val="21"/>
                <w:szCs w:val="21"/>
                <w:lang w:val="en-US" w:eastAsia="zh-CN"/>
              </w:rPr>
              <w:t>处理、喷淋洒水器</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Merge w:val="continue"/>
            <w:vAlign w:val="center"/>
          </w:tcPr>
          <w:p>
            <w:pPr>
              <w:bidi w:val="0"/>
              <w:jc w:val="center"/>
              <w:rPr>
                <w:rFonts w:hint="default" w:ascii="Times New Roman" w:hAnsi="Times New Roman" w:eastAsia="宋体" w:cs="Times New Roman"/>
                <w:color w:val="auto"/>
                <w:sz w:val="21"/>
                <w:szCs w:val="21"/>
                <w:lang w:eastAsia="zh-CN"/>
              </w:rPr>
            </w:pPr>
          </w:p>
        </w:tc>
        <w:tc>
          <w:tcPr>
            <w:tcW w:w="2003"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食堂油烟</w:t>
            </w:r>
          </w:p>
        </w:tc>
        <w:tc>
          <w:tcPr>
            <w:tcW w:w="3346" w:type="dxa"/>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油烟净化器</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Align w:val="center"/>
          </w:tcPr>
          <w:p>
            <w:pPr>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水环境</w:t>
            </w:r>
          </w:p>
        </w:tc>
        <w:tc>
          <w:tcPr>
            <w:tcW w:w="5349" w:type="dxa"/>
            <w:gridSpan w:val="2"/>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化粪池、沉淀池、砂石分离机</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Align w:val="center"/>
          </w:tcPr>
          <w:p>
            <w:pPr>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w:t>
            </w:r>
          </w:p>
        </w:tc>
        <w:tc>
          <w:tcPr>
            <w:tcW w:w="5349" w:type="dxa"/>
            <w:gridSpan w:val="2"/>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低噪声设备、减振基座</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Align w:val="center"/>
          </w:tcPr>
          <w:p>
            <w:pPr>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w:t>
            </w:r>
          </w:p>
        </w:tc>
        <w:tc>
          <w:tcPr>
            <w:tcW w:w="5349" w:type="dxa"/>
            <w:gridSpan w:val="2"/>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垃圾收集</w:t>
            </w:r>
            <w:r>
              <w:rPr>
                <w:rFonts w:hint="eastAsia" w:ascii="Times New Roman" w:hAnsi="Times New Roman" w:eastAsia="宋体" w:cs="Times New Roman"/>
                <w:color w:val="auto"/>
                <w:sz w:val="21"/>
                <w:szCs w:val="21"/>
                <w:lang w:eastAsia="zh-CN"/>
              </w:rPr>
              <w:t>点</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75" w:type="dxa"/>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其他</w:t>
            </w:r>
          </w:p>
        </w:tc>
        <w:tc>
          <w:tcPr>
            <w:tcW w:w="5349" w:type="dxa"/>
            <w:gridSpan w:val="2"/>
            <w:vAlign w:val="center"/>
          </w:tcPr>
          <w:p>
            <w:pPr>
              <w:bidi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绿化及树木</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424" w:type="dxa"/>
            <w:gridSpan w:val="3"/>
            <w:vAlign w:val="center"/>
          </w:tcPr>
          <w:p>
            <w:pPr>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总投资</w:t>
            </w:r>
          </w:p>
        </w:tc>
        <w:tc>
          <w:tcPr>
            <w:tcW w:w="2098"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w:t>
            </w:r>
          </w:p>
        </w:tc>
      </w:tr>
    </w:tbl>
    <w:p>
      <w:pPr>
        <w:pStyle w:val="9"/>
        <w:bidi w:val="0"/>
        <w:rPr>
          <w:rFonts w:hint="eastAsia"/>
          <w:lang w:val="en-US" w:eastAsia="zh-CN"/>
        </w:rPr>
      </w:pPr>
      <w:r>
        <w:rPr>
          <w:rFonts w:hint="eastAsia"/>
          <w:lang w:val="en-US" w:eastAsia="zh-CN"/>
        </w:rPr>
        <w:t>项目在建设过程中履行了有关报批手续，执行了国家环境保护管理的有关规定，环评报告表及审批意见中要求建设的污染防治设施基本得到落实。工程保证了在建成投运时，环保治理设施也同时投入运行。</w:t>
      </w:r>
    </w:p>
    <w:p>
      <w:pPr>
        <w:pStyle w:val="13"/>
        <w:bidi w:val="0"/>
        <w:rPr>
          <w:rFonts w:hint="eastAsia"/>
          <w:lang w:val="en-US" w:eastAsia="zh-CN"/>
        </w:rPr>
      </w:pPr>
      <w:r>
        <w:rPr>
          <w:rFonts w:hint="eastAsia"/>
          <w:lang w:val="en-US" w:eastAsia="zh-CN"/>
        </w:rPr>
        <w:t>表4.3-2    “三同时”落实情况一览表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38"/>
        <w:gridCol w:w="2005"/>
        <w:gridCol w:w="2659"/>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治理对象</w:t>
            </w:r>
          </w:p>
        </w:tc>
        <w:tc>
          <w:tcPr>
            <w:tcW w:w="1538"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处理对象</w:t>
            </w:r>
          </w:p>
        </w:tc>
        <w:tc>
          <w:tcPr>
            <w:tcW w:w="2005"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治理设施或设备</w:t>
            </w:r>
          </w:p>
        </w:tc>
        <w:tc>
          <w:tcPr>
            <w:tcW w:w="2659"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验收标准</w:t>
            </w:r>
          </w:p>
        </w:tc>
        <w:tc>
          <w:tcPr>
            <w:tcW w:w="1607"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restart"/>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1538"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生活污水</w:t>
            </w:r>
          </w:p>
        </w:tc>
        <w:tc>
          <w:tcPr>
            <w:tcW w:w="2005"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化粪池</w:t>
            </w:r>
          </w:p>
        </w:tc>
        <w:tc>
          <w:tcPr>
            <w:tcW w:w="2659"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蔡田铺</w:t>
            </w:r>
            <w:r>
              <w:rPr>
                <w:rFonts w:hint="default" w:ascii="Times New Roman" w:hAnsi="Times New Roman" w:eastAsia="宋体" w:cs="Times New Roman"/>
                <w:sz w:val="21"/>
                <w:szCs w:val="21"/>
                <w:lang w:eastAsia="zh-CN"/>
              </w:rPr>
              <w:t>污水处理厂接管标准及GB8978-1</w:t>
            </w:r>
            <w:r>
              <w:rPr>
                <w:rFonts w:hint="default" w:ascii="Times New Roman" w:hAnsi="Times New Roman" w:eastAsia="宋体" w:cs="Times New Roman"/>
                <w:color w:val="auto"/>
                <w:sz w:val="21"/>
                <w:szCs w:val="21"/>
                <w:lang w:eastAsia="zh-CN"/>
              </w:rPr>
              <w:t>996《污水综合排放标准》中</w:t>
            </w:r>
            <w:r>
              <w:rPr>
                <w:rFonts w:hint="default" w:ascii="Times New Roman" w:hAnsi="Times New Roman" w:eastAsia="宋体" w:cs="Times New Roman"/>
                <w:sz w:val="21"/>
                <w:szCs w:val="21"/>
                <w:lang w:eastAsia="zh-CN"/>
              </w:rPr>
              <w:t>三级标准</w:t>
            </w: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default" w:ascii="Times New Roman" w:hAnsi="Times New Roman" w:eastAsia="宋体" w:cs="Times New Roman"/>
                <w:sz w:val="21"/>
                <w:szCs w:val="21"/>
                <w:lang w:eastAsia="zh-CN"/>
              </w:rPr>
            </w:pPr>
          </w:p>
        </w:tc>
        <w:tc>
          <w:tcPr>
            <w:tcW w:w="1538"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生产废水</w:t>
            </w:r>
          </w:p>
        </w:tc>
        <w:tc>
          <w:tcPr>
            <w:tcW w:w="200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砂石分离机、沉淀池</w:t>
            </w:r>
          </w:p>
        </w:tc>
        <w:tc>
          <w:tcPr>
            <w:tcW w:w="2659" w:type="dxa"/>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回用，不外排</w:t>
            </w: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restart"/>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废气</w:t>
            </w:r>
          </w:p>
        </w:tc>
        <w:tc>
          <w:tcPr>
            <w:tcW w:w="1538"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圆筒料仓上料粉尘</w:t>
            </w:r>
          </w:p>
        </w:tc>
        <w:tc>
          <w:tcPr>
            <w:tcW w:w="200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脉冲袋式除尘器</w:t>
            </w:r>
            <w:r>
              <w:rPr>
                <w:rFonts w:hint="eastAsia" w:ascii="Times New Roman" w:hAnsi="Times New Roman" w:eastAsia="宋体" w:cs="Times New Roman"/>
                <w:sz w:val="21"/>
                <w:szCs w:val="21"/>
                <w:lang w:val="en-US" w:eastAsia="zh-CN"/>
              </w:rPr>
              <w:t>+21m排气筒</w:t>
            </w:r>
          </w:p>
        </w:tc>
        <w:tc>
          <w:tcPr>
            <w:tcW w:w="2659"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GB4915-20</w:t>
            </w:r>
            <w:r>
              <w:rPr>
                <w:rFonts w:hint="eastAsia" w:ascii="Times New Roman" w:hAnsi="Times New Roman" w:eastAsia="宋体" w:cs="Times New Roman"/>
                <w:sz w:val="21"/>
                <w:szCs w:val="21"/>
                <w:lang w:val="en-US" w:eastAsia="zh-CN"/>
              </w:rPr>
              <w:t>13</w:t>
            </w:r>
            <w:r>
              <w:rPr>
                <w:rFonts w:hint="eastAsia" w:ascii="Times New Roman" w:hAnsi="Times New Roman" w:eastAsia="宋体" w:cs="Times New Roman"/>
                <w:sz w:val="21"/>
                <w:szCs w:val="21"/>
                <w:lang w:eastAsia="zh-CN"/>
              </w:rPr>
              <w:t>《水泥工业大气污染物排放标准》标准</w:t>
            </w: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r>
              <w:rPr>
                <w:rFonts w:hint="eastAsia" w:ascii="Times New Roman" w:hAnsi="Times New Roman" w:eastAsia="宋体" w:cs="Times New Roman"/>
                <w:sz w:val="21"/>
                <w:szCs w:val="21"/>
                <w:lang w:eastAsia="zh-CN"/>
              </w:rPr>
              <w:t>；</w:t>
            </w:r>
          </w:p>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脉冲袋式除尘器</w:t>
            </w:r>
            <w:r>
              <w:rPr>
                <w:rFonts w:hint="eastAsia" w:ascii="Times New Roman" w:hAnsi="Times New Roman" w:eastAsia="宋体" w:cs="Times New Roman"/>
                <w:sz w:val="21"/>
                <w:szCs w:val="21"/>
                <w:lang w:val="en-US" w:eastAsia="zh-CN"/>
              </w:rPr>
              <w:t>+25m排气筒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default" w:ascii="Times New Roman" w:hAnsi="Times New Roman" w:eastAsia="宋体" w:cs="Times New Roman"/>
                <w:sz w:val="21"/>
                <w:szCs w:val="21"/>
                <w:lang w:eastAsia="zh-CN"/>
              </w:rPr>
            </w:pPr>
          </w:p>
        </w:tc>
        <w:tc>
          <w:tcPr>
            <w:tcW w:w="1538"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搅拌主楼下料粉尘</w:t>
            </w:r>
          </w:p>
        </w:tc>
        <w:tc>
          <w:tcPr>
            <w:tcW w:w="200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脉冲袋式除尘器、搅拌主楼封闭、皮带运输机全封闭、定期喷淋降尘</w:t>
            </w:r>
          </w:p>
        </w:tc>
        <w:tc>
          <w:tcPr>
            <w:tcW w:w="2659" w:type="dxa"/>
            <w:vMerge w:val="restart"/>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GB4915-20</w:t>
            </w:r>
            <w:r>
              <w:rPr>
                <w:rFonts w:hint="eastAsia" w:ascii="Times New Roman" w:hAnsi="Times New Roman" w:eastAsia="宋体" w:cs="Times New Roman"/>
                <w:sz w:val="21"/>
                <w:szCs w:val="21"/>
                <w:lang w:val="en-US" w:eastAsia="zh-CN"/>
              </w:rPr>
              <w:t>13</w:t>
            </w:r>
            <w:r>
              <w:rPr>
                <w:rFonts w:hint="eastAsia" w:ascii="Times New Roman" w:hAnsi="Times New Roman" w:eastAsia="宋体" w:cs="Times New Roman"/>
                <w:sz w:val="21"/>
                <w:szCs w:val="21"/>
                <w:lang w:eastAsia="zh-CN"/>
              </w:rPr>
              <w:t>《水泥工业大气污染物排放标准》</w:t>
            </w:r>
            <w:r>
              <w:rPr>
                <w:rFonts w:hint="default" w:ascii="Times New Roman" w:hAnsi="Times New Roman" w:eastAsia="宋体" w:cs="Times New Roman"/>
                <w:sz w:val="21"/>
                <w:szCs w:val="21"/>
              </w:rPr>
              <w:t>无组织排放监控浓度限值</w:t>
            </w: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default" w:ascii="Times New Roman" w:hAnsi="Times New Roman" w:eastAsia="宋体" w:cs="Times New Roman"/>
                <w:sz w:val="21"/>
                <w:szCs w:val="21"/>
                <w:lang w:eastAsia="zh-CN"/>
              </w:rPr>
            </w:pPr>
          </w:p>
        </w:tc>
        <w:tc>
          <w:tcPr>
            <w:tcW w:w="1538"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料场堆放粉尘</w:t>
            </w:r>
          </w:p>
        </w:tc>
        <w:tc>
          <w:tcPr>
            <w:tcW w:w="200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料场半封闭顶盖</w:t>
            </w:r>
            <w:r>
              <w:rPr>
                <w:rFonts w:hint="eastAsia" w:ascii="Times New Roman" w:hAnsi="Times New Roman" w:eastAsia="宋体" w:cs="Times New Roman"/>
                <w:sz w:val="21"/>
                <w:szCs w:val="21"/>
                <w:lang w:val="en-US" w:eastAsia="zh-CN"/>
              </w:rPr>
              <w:t>处理</w:t>
            </w:r>
            <w:r>
              <w:rPr>
                <w:rFonts w:hint="eastAsia" w:ascii="Times New Roman" w:hAnsi="Times New Roman" w:eastAsia="宋体" w:cs="Times New Roman"/>
                <w:sz w:val="21"/>
                <w:szCs w:val="21"/>
                <w:lang w:eastAsia="zh-CN"/>
              </w:rPr>
              <w:t>、定期喷淋降尘</w:t>
            </w:r>
          </w:p>
        </w:tc>
        <w:tc>
          <w:tcPr>
            <w:tcW w:w="2659" w:type="dxa"/>
            <w:vMerge w:val="continue"/>
            <w:vAlign w:val="center"/>
          </w:tcPr>
          <w:p>
            <w:pPr>
              <w:bidi w:val="0"/>
              <w:jc w:val="center"/>
              <w:rPr>
                <w:rFonts w:hint="eastAsia" w:ascii="Times New Roman" w:hAnsi="Times New Roman" w:eastAsia="宋体" w:cs="Times New Roman"/>
                <w:sz w:val="21"/>
                <w:szCs w:val="21"/>
                <w:lang w:eastAsia="zh-CN"/>
              </w:rPr>
            </w:pP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default" w:ascii="Times New Roman" w:hAnsi="Times New Roman" w:eastAsia="宋体" w:cs="Times New Roman"/>
                <w:sz w:val="21"/>
                <w:szCs w:val="21"/>
                <w:lang w:eastAsia="zh-CN"/>
              </w:rPr>
            </w:pPr>
          </w:p>
        </w:tc>
        <w:tc>
          <w:tcPr>
            <w:tcW w:w="1538"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食堂油烟</w:t>
            </w:r>
          </w:p>
        </w:tc>
        <w:tc>
          <w:tcPr>
            <w:tcW w:w="200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油烟净化器</w:t>
            </w:r>
          </w:p>
        </w:tc>
        <w:tc>
          <w:tcPr>
            <w:tcW w:w="2659"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GB18483-2001《饮食业油烟排放标准》</w:t>
            </w: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restart"/>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噪声</w:t>
            </w:r>
          </w:p>
        </w:tc>
        <w:tc>
          <w:tcPr>
            <w:tcW w:w="1538"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皮带运输机</w:t>
            </w:r>
          </w:p>
        </w:tc>
        <w:tc>
          <w:tcPr>
            <w:tcW w:w="200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皮带运输机全封闭</w:t>
            </w:r>
          </w:p>
        </w:tc>
        <w:tc>
          <w:tcPr>
            <w:tcW w:w="2659" w:type="dxa"/>
            <w:vMerge w:val="restart"/>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GB12348-2008《工业企业厂界环境噪声排放标准》中3类标准</w:t>
            </w: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eastAsia" w:ascii="Times New Roman" w:hAnsi="Times New Roman" w:eastAsia="宋体" w:cs="Times New Roman"/>
                <w:sz w:val="21"/>
                <w:szCs w:val="21"/>
                <w:lang w:eastAsia="zh-CN"/>
              </w:rPr>
            </w:pPr>
          </w:p>
        </w:tc>
        <w:tc>
          <w:tcPr>
            <w:tcW w:w="1538"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搅拌机</w:t>
            </w:r>
          </w:p>
        </w:tc>
        <w:tc>
          <w:tcPr>
            <w:tcW w:w="200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搅拌机设置在搅拌楼内，搅拌楼密闭</w:t>
            </w:r>
          </w:p>
        </w:tc>
        <w:tc>
          <w:tcPr>
            <w:tcW w:w="2659" w:type="dxa"/>
            <w:vMerge w:val="continue"/>
            <w:vAlign w:val="center"/>
          </w:tcPr>
          <w:p>
            <w:pPr>
              <w:bidi w:val="0"/>
              <w:jc w:val="center"/>
              <w:rPr>
                <w:rFonts w:hint="eastAsia" w:ascii="Times New Roman" w:hAnsi="Times New Roman" w:eastAsia="宋体" w:cs="Times New Roman"/>
                <w:color w:val="auto"/>
                <w:sz w:val="21"/>
                <w:szCs w:val="21"/>
                <w:lang w:val="en-US" w:eastAsia="zh-CN"/>
              </w:rPr>
            </w:pP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eastAsia" w:ascii="Times New Roman" w:hAnsi="Times New Roman" w:eastAsia="宋体" w:cs="Times New Roman"/>
                <w:sz w:val="21"/>
                <w:szCs w:val="21"/>
                <w:lang w:eastAsia="zh-CN"/>
              </w:rPr>
            </w:pPr>
          </w:p>
        </w:tc>
        <w:tc>
          <w:tcPr>
            <w:tcW w:w="1538"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装载机、混凝土运输机</w:t>
            </w:r>
          </w:p>
        </w:tc>
        <w:tc>
          <w:tcPr>
            <w:tcW w:w="2005"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运输线路均在封闭场范围内</w:t>
            </w:r>
          </w:p>
        </w:tc>
        <w:tc>
          <w:tcPr>
            <w:tcW w:w="2659" w:type="dxa"/>
            <w:vMerge w:val="continue"/>
            <w:vAlign w:val="center"/>
          </w:tcPr>
          <w:p>
            <w:pPr>
              <w:bidi w:val="0"/>
              <w:jc w:val="center"/>
              <w:rPr>
                <w:rFonts w:hint="eastAsia" w:ascii="Times New Roman" w:hAnsi="Times New Roman" w:eastAsia="宋体" w:cs="Times New Roman"/>
                <w:color w:val="auto"/>
                <w:sz w:val="21"/>
                <w:szCs w:val="21"/>
                <w:lang w:val="en-US" w:eastAsia="zh-CN"/>
              </w:rPr>
            </w:pPr>
          </w:p>
        </w:tc>
        <w:tc>
          <w:tcPr>
            <w:tcW w:w="16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3" w:type="dxa"/>
            <w:vMerge w:val="restart"/>
            <w:vAlign w:val="center"/>
          </w:tcPr>
          <w:p>
            <w:pPr>
              <w:bidi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固废</w:t>
            </w:r>
          </w:p>
        </w:tc>
        <w:tc>
          <w:tcPr>
            <w:tcW w:w="1538" w:type="dxa"/>
            <w:vAlign w:val="center"/>
          </w:tcPr>
          <w:p>
            <w:pPr>
              <w:bidi w:val="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脉冲袋式除尘器处理粉尘</w:t>
            </w:r>
          </w:p>
        </w:tc>
        <w:tc>
          <w:tcPr>
            <w:tcW w:w="2005" w:type="dxa"/>
            <w:vAlign w:val="center"/>
          </w:tcPr>
          <w:p>
            <w:pPr>
              <w:bidi w:val="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集中收集后回用于生产</w:t>
            </w:r>
          </w:p>
        </w:tc>
        <w:tc>
          <w:tcPr>
            <w:tcW w:w="2659" w:type="dxa"/>
            <w:vMerge w:val="restart"/>
            <w:vAlign w:val="center"/>
          </w:tcPr>
          <w:p>
            <w:pPr>
              <w:bidi w:val="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不对项目区外环境产生影响</w:t>
            </w:r>
          </w:p>
        </w:tc>
        <w:tc>
          <w:tcPr>
            <w:tcW w:w="1607" w:type="dxa"/>
            <w:vAlign w:val="center"/>
          </w:tcPr>
          <w:p>
            <w:pPr>
              <w:bidi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default" w:ascii="Times New Roman" w:hAnsi="Times New Roman" w:eastAsia="宋体" w:cs="Times New Roman"/>
                <w:sz w:val="21"/>
                <w:szCs w:val="21"/>
                <w:highlight w:val="none"/>
                <w:lang w:val="en-US" w:eastAsia="zh-CN"/>
              </w:rPr>
            </w:pPr>
          </w:p>
        </w:tc>
        <w:tc>
          <w:tcPr>
            <w:tcW w:w="1538" w:type="dxa"/>
            <w:vAlign w:val="center"/>
          </w:tcPr>
          <w:p>
            <w:pPr>
              <w:bidi w:val="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沉淀池砂石</w:t>
            </w:r>
          </w:p>
        </w:tc>
        <w:tc>
          <w:tcPr>
            <w:tcW w:w="2005" w:type="dxa"/>
            <w:vAlign w:val="center"/>
          </w:tcPr>
          <w:p>
            <w:pPr>
              <w:bidi w:val="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集中收集后回用于生产</w:t>
            </w:r>
          </w:p>
        </w:tc>
        <w:tc>
          <w:tcPr>
            <w:tcW w:w="2659" w:type="dxa"/>
            <w:vMerge w:val="continue"/>
            <w:vAlign w:val="center"/>
          </w:tcPr>
          <w:p>
            <w:pPr>
              <w:bidi w:val="0"/>
              <w:jc w:val="center"/>
              <w:rPr>
                <w:rFonts w:hint="default" w:ascii="Times New Roman" w:hAnsi="Times New Roman" w:eastAsia="宋体" w:cs="Times New Roman"/>
                <w:sz w:val="21"/>
                <w:szCs w:val="21"/>
                <w:highlight w:val="none"/>
                <w:lang w:eastAsia="zh-CN"/>
              </w:rPr>
            </w:pPr>
          </w:p>
        </w:tc>
        <w:tc>
          <w:tcPr>
            <w:tcW w:w="1607" w:type="dxa"/>
            <w:vAlign w:val="center"/>
          </w:tcPr>
          <w:p>
            <w:pPr>
              <w:bidi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bidi w:val="0"/>
              <w:jc w:val="center"/>
              <w:rPr>
                <w:rFonts w:hint="default" w:ascii="Times New Roman" w:hAnsi="Times New Roman" w:eastAsia="宋体" w:cs="Times New Roman"/>
                <w:sz w:val="21"/>
                <w:szCs w:val="21"/>
                <w:highlight w:val="none"/>
                <w:lang w:val="en-US" w:eastAsia="zh-CN"/>
              </w:rPr>
            </w:pPr>
          </w:p>
        </w:tc>
        <w:tc>
          <w:tcPr>
            <w:tcW w:w="1538" w:type="dxa"/>
            <w:vAlign w:val="center"/>
          </w:tcPr>
          <w:p>
            <w:pPr>
              <w:bidi w:val="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生活垃圾</w:t>
            </w:r>
          </w:p>
        </w:tc>
        <w:tc>
          <w:tcPr>
            <w:tcW w:w="2005" w:type="dxa"/>
            <w:vAlign w:val="center"/>
          </w:tcPr>
          <w:p>
            <w:pPr>
              <w:bidi w:val="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垃圾收集点</w:t>
            </w:r>
          </w:p>
        </w:tc>
        <w:tc>
          <w:tcPr>
            <w:tcW w:w="2659" w:type="dxa"/>
            <w:vMerge w:val="continue"/>
            <w:vAlign w:val="center"/>
          </w:tcPr>
          <w:p>
            <w:pPr>
              <w:bidi w:val="0"/>
              <w:jc w:val="center"/>
              <w:rPr>
                <w:rFonts w:hint="default" w:ascii="Times New Roman" w:hAnsi="Times New Roman" w:eastAsia="宋体" w:cs="Times New Roman"/>
                <w:sz w:val="21"/>
                <w:szCs w:val="21"/>
                <w:highlight w:val="none"/>
                <w:lang w:eastAsia="zh-CN"/>
              </w:rPr>
            </w:pPr>
          </w:p>
        </w:tc>
        <w:tc>
          <w:tcPr>
            <w:tcW w:w="1607" w:type="dxa"/>
            <w:vAlign w:val="center"/>
          </w:tcPr>
          <w:p>
            <w:pPr>
              <w:bidi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已落实</w:t>
            </w:r>
          </w:p>
        </w:tc>
      </w:tr>
    </w:tbl>
    <w:p>
      <w:pPr>
        <w:bidi w:val="0"/>
        <w:rPr>
          <w:rFonts w:hint="eastAsia"/>
          <w:lang w:val="en-US" w:eastAsia="zh-CN"/>
        </w:rPr>
      </w:pPr>
      <w:bookmarkStart w:id="17" w:name="_Toc7035"/>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16"/>
        <w:bidi w:val="0"/>
        <w:rPr>
          <w:rFonts w:hint="default"/>
          <w:sz w:val="24"/>
          <w:szCs w:val="22"/>
          <w:lang w:val="en-US" w:eastAsia="zh-CN"/>
        </w:rPr>
      </w:pPr>
      <w:r>
        <w:rPr>
          <w:rFonts w:hint="eastAsia"/>
          <w:sz w:val="24"/>
          <w:szCs w:val="22"/>
          <w:lang w:val="en-US" w:eastAsia="zh-CN"/>
        </w:rPr>
        <w:t>4.3 《合肥市预拌商品混凝土商硂站环境整治工作方案》落实情况</w:t>
      </w:r>
      <w:bookmarkEnd w:id="17"/>
    </w:p>
    <w:p>
      <w:pPr>
        <w:pStyle w:val="9"/>
        <w:bidi w:val="0"/>
        <w:rPr>
          <w:rFonts w:hint="default"/>
          <w:lang w:val="en-US" w:eastAsia="zh-CN"/>
        </w:rPr>
      </w:pPr>
      <w:r>
        <w:rPr>
          <w:rFonts w:hint="eastAsia"/>
          <w:lang w:val="en-US" w:eastAsia="zh-CN"/>
        </w:rPr>
        <w:t>企业</w:t>
      </w:r>
      <w:r>
        <w:rPr>
          <w:rFonts w:hint="eastAsia"/>
          <w:color w:val="auto"/>
          <w:lang w:val="en-US" w:eastAsia="zh-CN"/>
        </w:rPr>
        <w:t>于2014年按照</w:t>
      </w:r>
      <w:r>
        <w:rPr>
          <w:rFonts w:hint="eastAsia"/>
          <w:lang w:val="en-US" w:eastAsia="zh-CN"/>
        </w:rPr>
        <w:t>《合肥市预拌商品混凝土商硂站环境整治工作方案》要求，对生产场地、生产设施、运输管理等进行环保改造，并与</w:t>
      </w:r>
      <w:r>
        <w:rPr>
          <w:rFonts w:hint="eastAsia"/>
          <w:color w:val="auto"/>
          <w:lang w:val="en-US" w:eastAsia="zh-CN"/>
        </w:rPr>
        <w:t>2014年12月9日由长丰县环境保护局以《关于对混凝土搅拌站扬尘污染整治情况的验收意见》验收通过（见附件），本</w:t>
      </w:r>
      <w:r>
        <w:rPr>
          <w:rFonts w:hint="eastAsia"/>
          <w:lang w:val="en-US" w:eastAsia="zh-CN"/>
        </w:rPr>
        <w:t>项目落实情况见下表4.3-1。</w:t>
      </w:r>
    </w:p>
    <w:p>
      <w:pPr>
        <w:pStyle w:val="13"/>
        <w:bidi w:val="0"/>
        <w:rPr>
          <w:rFonts w:hint="default"/>
          <w:lang w:val="en-US" w:eastAsia="zh-CN"/>
        </w:rPr>
      </w:pPr>
      <w:r>
        <w:rPr>
          <w:rFonts w:hint="eastAsia"/>
          <w:lang w:val="en-US" w:eastAsia="zh-CN"/>
        </w:rPr>
        <w:t>表4.3-1    项目环境整治落实情况一览表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4245"/>
        <w:gridCol w:w="25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序号</w:t>
            </w:r>
          </w:p>
        </w:tc>
        <w:tc>
          <w:tcPr>
            <w:tcW w:w="4245" w:type="dxa"/>
            <w:vAlign w:val="center"/>
          </w:tcPr>
          <w:p>
            <w:pPr>
              <w:bidi w:val="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《合肥市预拌商品混凝土搅拌站环境整治</w:t>
            </w:r>
          </w:p>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工作方案》</w:t>
            </w:r>
          </w:p>
        </w:tc>
        <w:tc>
          <w:tcPr>
            <w:tcW w:w="2575"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本项目环境整治情况</w:t>
            </w:r>
          </w:p>
        </w:tc>
        <w:tc>
          <w:tcPr>
            <w:tcW w:w="1009"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24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厂区内应合理规划。办公区、生活区、生产区应分区设置，边界处应建围墙等进行有效分隔。厂区外按门前三包要求进行管理</w:t>
            </w:r>
          </w:p>
        </w:tc>
        <w:tc>
          <w:tcPr>
            <w:tcW w:w="257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本项目已对办公区、生活区和生产区进行分区设置，边界处设置围栏</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424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厂区道路及生产作业区的地面面层应采用商品混凝土或沥青商品混凝土等不起尘的硬化地面，且应采取措施保持清洁，车辆行驶时无明显可见扬尘，未硬化的空地应进行绿化</w:t>
            </w:r>
          </w:p>
        </w:tc>
        <w:tc>
          <w:tcPr>
            <w:tcW w:w="257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本项目道路及生产作业区的地面以进行了硬化，未硬化的地面已绿化</w:t>
            </w:r>
          </w:p>
        </w:tc>
        <w:tc>
          <w:tcPr>
            <w:tcW w:w="1009"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424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厂区内宜设置循环行车路线，并设置导向、警示、定位等标识。厂区内应建洗车台，洗车台应保持清洁</w:t>
            </w:r>
          </w:p>
        </w:tc>
        <w:tc>
          <w:tcPr>
            <w:tcW w:w="257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本项目设有一个洗车台且定期清洗；行车路线设置导向、警示、定位等标识</w:t>
            </w:r>
          </w:p>
        </w:tc>
        <w:tc>
          <w:tcPr>
            <w:tcW w:w="1009"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424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厂区内建设雨污分流排水设施、污水沉淀池、搅拌楼、骨料堆场、商品混凝土回收设备、车辆清洗场地四周排水沟并与沉淀池连接，使生产废水全部收集并综合利用，不得外排</w:t>
            </w:r>
          </w:p>
        </w:tc>
        <w:tc>
          <w:tcPr>
            <w:tcW w:w="257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本项目厂区雨污分流，污水沉淀池、搅拌楼、骨料堆场、车辆清洗场地四周排水沟并与沉淀池连接，生产废水全部收集并综合利用，不外排</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424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生活污水排入市政污水管网，进入城镇污水处理厂；不能纳管的应建处理设施，处理达标后排放；对于工作人员较少的商硂站，可将污水暂存于化粪池内，不得擅自外排，定期用吸粪车外运处理</w:t>
            </w:r>
          </w:p>
        </w:tc>
        <w:tc>
          <w:tcPr>
            <w:tcW w:w="257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本项目生活污水经化粪池处理后排入市政污水管网，进入蔡田铺污水处理厂处理</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424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现有预拌商品混凝土企业应采用封闭式骨料堆场（三面建设不低于3m的挡墙），应配置强制网格式除尘喷淋喷水设备，定期洒水抑尘，并应表明边界。砂石堆场应铺装硬质地面并设置排水沟</w:t>
            </w:r>
          </w:p>
        </w:tc>
        <w:tc>
          <w:tcPr>
            <w:tcW w:w="257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本项目骨料堆场三面建设不低于3m的挡墙，并定期洒水抑尘</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424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新建预拌商品混凝土企业（分站）的砂石堆场与配料设施应加装硬顶一起封闭，其高度应能满足装卸料、配料的要求，并应配备喷淋水等除尘抑尘设备</w:t>
            </w:r>
          </w:p>
        </w:tc>
        <w:tc>
          <w:tcPr>
            <w:tcW w:w="257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本项目上料区上方安装棚顶（其高度能满足装卸料、配料的要求），输送、计量、投料生产过程采用全封闭式操作，并定期洒水抑尘</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424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商品混凝土商砼站应配备相应的清洗设备，并保持设备设施清洁、整洁；商品混凝土运输车出厂前应进行清洁；拌合机、搅拌运输车的清洗废水不得无序排放，应配备沉淀池等相关设施，应对污水进行沉淀处理，沉淀物应及时清运</w:t>
            </w:r>
          </w:p>
        </w:tc>
        <w:tc>
          <w:tcPr>
            <w:tcW w:w="2575" w:type="dxa"/>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本项目设置一个清洗台，运输车辆出厂前均清洗，清洗废水经排水沟进入沉淀池处理，沉淀物及时清运</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424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拌合机、原料仓（水泥仓、粉煤灰仓）及其它通风生产设备，应安装布袋除尘器</w:t>
            </w:r>
          </w:p>
        </w:tc>
        <w:tc>
          <w:tcPr>
            <w:tcW w:w="257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本项目设置搅拌机、圆筒料仓均已设置袋式除尘器</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424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搅拌楼场地应合理布局，搅拌楼生产工艺流程中的上料、配料、搅拌等环节必须安装布袋除尘装置等高效除尘装置，达到降低噪声和粉尘排放指标的要求</w:t>
            </w:r>
          </w:p>
        </w:tc>
        <w:tc>
          <w:tcPr>
            <w:tcW w:w="257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本项目搅拌楼布局合理，上料、配料、搅拌等环节已安装袋式除尘装置</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424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新建预拌商品商品混凝土企业搅拌楼一层应采用钢筋商品混凝土结构，主体二层及以上外立面部分应进行密闭处理，其内部应采用防尘的采光设备采光。搅拌楼地下应建蓄水池</w:t>
            </w:r>
          </w:p>
        </w:tc>
        <w:tc>
          <w:tcPr>
            <w:tcW w:w="257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本项目搅拌楼一层采用钢筋商品混凝土结构，主体二层及以上外立面部分已进行密闭处理，搅拌楼地下建有蓄水池</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424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搅拌主机、筒仓应使用布袋除尘装置等高效除尘装置，除尘设施应保持完好，滤袋等易损装置应定期保养或更换</w:t>
            </w:r>
          </w:p>
        </w:tc>
        <w:tc>
          <w:tcPr>
            <w:tcW w:w="257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本项目搅拌主机、圆筒料仓均已安装袋式除尘器，除尘设施完好，滤袋定期保养或更换</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424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搅拌主机卸料口应采用防止商品混凝土（砂浆）喷溅的设施，卸料口下地面应保持清洁，及时清理泥浆类物质。</w:t>
            </w:r>
          </w:p>
        </w:tc>
        <w:tc>
          <w:tcPr>
            <w:tcW w:w="257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本项目搅拌主机卸料口已安装商品混凝土防喷溅设</w:t>
            </w:r>
            <w:r>
              <w:rPr>
                <w:rFonts w:hint="eastAsia" w:ascii="Times New Roman" w:hAnsi="Times New Roman" w:eastAsia="宋体" w:cs="Times New Roman"/>
                <w:color w:val="auto"/>
                <w:sz w:val="21"/>
                <w:szCs w:val="21"/>
                <w:lang w:val="en-US" w:eastAsia="zh-CN"/>
              </w:rPr>
              <w:t>施，卸料口下地面</w:t>
            </w:r>
            <w:r>
              <w:rPr>
                <w:rFonts w:hint="eastAsia" w:ascii="Times New Roman" w:hAnsi="Times New Roman" w:eastAsia="宋体" w:cs="Times New Roman"/>
                <w:sz w:val="21"/>
                <w:szCs w:val="21"/>
                <w:lang w:val="en-US" w:eastAsia="zh-CN"/>
              </w:rPr>
              <w:t>保持清洁</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424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筒仓除吹灰管及除尘器出口外，不得再有通向大气的出口，吹灰管应采用硬式密闭接口，不得泄露</w:t>
            </w:r>
          </w:p>
        </w:tc>
        <w:tc>
          <w:tcPr>
            <w:tcW w:w="257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本项目圆筒料仓除吹灰管及除尘器出口外，无通向大气的出口，吹灰管采用硬式密闭接口</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424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粉料仓应有料位控制系统。料位控制系统显示部分装置位置应便于上料人员吹灰控制。料位控制系统应定期检查维护</w:t>
            </w:r>
          </w:p>
        </w:tc>
        <w:tc>
          <w:tcPr>
            <w:tcW w:w="257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本项目圆筒料仓有料位控制系统，料位控制系统定期检查维护</w:t>
            </w:r>
          </w:p>
        </w:tc>
        <w:tc>
          <w:tcPr>
            <w:tcW w:w="100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bl>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4261" w:type="dxa"/>
            <w:vAlign w:val="center"/>
          </w:tcPr>
          <w:p>
            <w:pPr>
              <w:bidi w:val="0"/>
              <w:jc w:val="center"/>
              <w:rPr>
                <w:rFonts w:hint="eastAsia"/>
                <w:lang w:val="en-US" w:eastAsia="zh-CN"/>
              </w:rPr>
            </w:pPr>
            <w:r>
              <w:rPr>
                <w:rFonts w:hint="eastAsia"/>
                <w:lang w:val="en-US" w:eastAsia="zh-CN"/>
              </w:rPr>
              <w:drawing>
                <wp:inline distT="0" distB="0" distL="114300" distR="114300">
                  <wp:extent cx="2567305" cy="1922780"/>
                  <wp:effectExtent l="12700" t="12700" r="29845" b="26670"/>
                  <wp:docPr id="21" name="图片 21" descr="冲洗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冲洗台"/>
                          <pic:cNvPicPr>
                            <a:picLocks noChangeAspect="1"/>
                          </pic:cNvPicPr>
                        </pic:nvPicPr>
                        <pic:blipFill>
                          <a:blip r:embed="rId30"/>
                          <a:stretch>
                            <a:fillRect/>
                          </a:stretch>
                        </pic:blipFill>
                        <pic:spPr>
                          <a:xfrm>
                            <a:off x="0" y="0"/>
                            <a:ext cx="2567305" cy="1922780"/>
                          </a:xfrm>
                          <a:prstGeom prst="rect">
                            <a:avLst/>
                          </a:prstGeom>
                          <a:ln w="12700">
                            <a:solidFill>
                              <a:schemeClr val="tx1"/>
                            </a:solidFill>
                          </a:ln>
                        </pic:spPr>
                      </pic:pic>
                    </a:graphicData>
                  </a:graphic>
                </wp:inline>
              </w:drawing>
            </w:r>
          </w:p>
        </w:tc>
        <w:tc>
          <w:tcPr>
            <w:tcW w:w="4261" w:type="dxa"/>
            <w:vAlign w:val="center"/>
          </w:tcPr>
          <w:p>
            <w:pPr>
              <w:bidi w:val="0"/>
              <w:jc w:val="center"/>
              <w:rPr>
                <w:rFonts w:hint="eastAsia"/>
                <w:lang w:val="en-US" w:eastAsia="zh-CN"/>
              </w:rPr>
            </w:pPr>
            <w:r>
              <w:rPr>
                <w:rFonts w:hint="eastAsia"/>
                <w:lang w:val="en-US" w:eastAsia="zh-CN"/>
              </w:rPr>
              <w:drawing>
                <wp:inline distT="0" distB="0" distL="114300" distR="114300">
                  <wp:extent cx="2567940" cy="1867535"/>
                  <wp:effectExtent l="12700" t="12700" r="29210" b="24765"/>
                  <wp:docPr id="24" name="图片 24" descr="喷淋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喷淋装置"/>
                          <pic:cNvPicPr>
                            <a:picLocks noChangeAspect="1"/>
                          </pic:cNvPicPr>
                        </pic:nvPicPr>
                        <pic:blipFill>
                          <a:blip r:embed="rId31"/>
                          <a:stretch>
                            <a:fillRect/>
                          </a:stretch>
                        </pic:blipFill>
                        <pic:spPr>
                          <a:xfrm>
                            <a:off x="0" y="0"/>
                            <a:ext cx="2567940" cy="186753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pStyle w:val="13"/>
              <w:bidi w:val="0"/>
              <w:rPr>
                <w:rFonts w:hint="default"/>
                <w:color w:val="auto"/>
                <w:lang w:val="en-US" w:eastAsia="zh-CN"/>
              </w:rPr>
            </w:pPr>
            <w:r>
              <w:rPr>
                <w:rFonts w:hint="eastAsia"/>
                <w:color w:val="auto"/>
                <w:lang w:val="en-US" w:eastAsia="zh-CN"/>
              </w:rPr>
              <w:t>图4.3-1    洗车平台</w:t>
            </w:r>
          </w:p>
        </w:tc>
        <w:tc>
          <w:tcPr>
            <w:tcW w:w="4261" w:type="dxa"/>
            <w:vAlign w:val="center"/>
          </w:tcPr>
          <w:p>
            <w:pPr>
              <w:pStyle w:val="13"/>
              <w:bidi w:val="0"/>
              <w:rPr>
                <w:rFonts w:hint="eastAsia"/>
                <w:color w:val="auto"/>
                <w:lang w:val="en-US" w:eastAsia="zh-CN"/>
              </w:rPr>
            </w:pPr>
            <w:r>
              <w:rPr>
                <w:rFonts w:hint="eastAsia"/>
                <w:color w:val="auto"/>
                <w:lang w:val="en-US" w:eastAsia="zh-CN"/>
              </w:rPr>
              <w:t>图4.3-3    喷淋装置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bidi w:val="0"/>
              <w:jc w:val="center"/>
              <w:rPr>
                <w:rFonts w:hint="eastAsia"/>
                <w:lang w:val="en-US" w:eastAsia="zh-CN"/>
              </w:rPr>
            </w:pPr>
            <w:r>
              <w:rPr>
                <w:rFonts w:hint="eastAsia"/>
                <w:lang w:val="en-US" w:eastAsia="zh-CN"/>
              </w:rPr>
              <w:drawing>
                <wp:inline distT="0" distB="0" distL="114300" distR="114300">
                  <wp:extent cx="2561590" cy="3415030"/>
                  <wp:effectExtent l="12700" t="12700" r="16510" b="20320"/>
                  <wp:docPr id="19" name="图片 19" descr="排水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排水沟"/>
                          <pic:cNvPicPr>
                            <a:picLocks noChangeAspect="1"/>
                          </pic:cNvPicPr>
                        </pic:nvPicPr>
                        <pic:blipFill>
                          <a:blip r:embed="rId32"/>
                          <a:stretch>
                            <a:fillRect/>
                          </a:stretch>
                        </pic:blipFill>
                        <pic:spPr>
                          <a:xfrm>
                            <a:off x="0" y="0"/>
                            <a:ext cx="2561590" cy="3415030"/>
                          </a:xfrm>
                          <a:prstGeom prst="rect">
                            <a:avLst/>
                          </a:prstGeom>
                          <a:ln w="12700">
                            <a:solidFill>
                              <a:schemeClr val="tx1"/>
                            </a:solidFill>
                          </a:ln>
                        </pic:spPr>
                      </pic:pic>
                    </a:graphicData>
                  </a:graphic>
                </wp:inline>
              </w:drawing>
            </w:r>
          </w:p>
        </w:tc>
        <w:tc>
          <w:tcPr>
            <w:tcW w:w="4261" w:type="dxa"/>
            <w:vAlign w:val="center"/>
          </w:tcPr>
          <w:p>
            <w:pPr>
              <w:bidi w:val="0"/>
              <w:jc w:val="center"/>
              <w:rPr>
                <w:rFonts w:hint="eastAsia"/>
                <w:lang w:val="en-US" w:eastAsia="zh-CN"/>
              </w:rPr>
            </w:pPr>
            <w:r>
              <w:rPr>
                <w:rFonts w:hint="eastAsia"/>
                <w:lang w:val="en-US" w:eastAsia="zh-CN"/>
              </w:rPr>
              <w:drawing>
                <wp:inline distT="0" distB="0" distL="114300" distR="114300">
                  <wp:extent cx="2534920" cy="3379470"/>
                  <wp:effectExtent l="12700" t="12700" r="24130" b="17780"/>
                  <wp:docPr id="20" name="图片 20" descr="防喷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防喷溅"/>
                          <pic:cNvPicPr>
                            <a:picLocks noChangeAspect="1"/>
                          </pic:cNvPicPr>
                        </pic:nvPicPr>
                        <pic:blipFill>
                          <a:blip r:embed="rId33"/>
                          <a:stretch>
                            <a:fillRect/>
                          </a:stretch>
                        </pic:blipFill>
                        <pic:spPr>
                          <a:xfrm>
                            <a:off x="0" y="0"/>
                            <a:ext cx="2534920" cy="3379470"/>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vAlign w:val="center"/>
          </w:tcPr>
          <w:p>
            <w:pPr>
              <w:pStyle w:val="13"/>
              <w:bidi w:val="0"/>
              <w:rPr>
                <w:rFonts w:hint="eastAsia"/>
                <w:color w:val="auto"/>
                <w:lang w:val="en-US" w:eastAsia="zh-CN"/>
              </w:rPr>
            </w:pPr>
            <w:r>
              <w:rPr>
                <w:rFonts w:hint="eastAsia"/>
                <w:color w:val="auto"/>
                <w:lang w:val="en-US" w:eastAsia="zh-CN"/>
              </w:rPr>
              <w:t>图4.3-2    排水沟</w:t>
            </w:r>
          </w:p>
        </w:tc>
        <w:tc>
          <w:tcPr>
            <w:tcW w:w="4261" w:type="dxa"/>
            <w:vAlign w:val="center"/>
          </w:tcPr>
          <w:p>
            <w:pPr>
              <w:pStyle w:val="13"/>
              <w:bidi w:val="0"/>
              <w:rPr>
                <w:rFonts w:hint="eastAsia"/>
                <w:color w:val="auto"/>
                <w:lang w:val="en-US" w:eastAsia="zh-CN"/>
              </w:rPr>
            </w:pPr>
            <w:r>
              <w:rPr>
                <w:rFonts w:hint="eastAsia"/>
                <w:color w:val="auto"/>
                <w:lang w:val="en-US" w:eastAsia="zh-CN"/>
              </w:rPr>
              <w:t>图4.3-4    卸料口防喷溅设施</w:t>
            </w:r>
          </w:p>
        </w:tc>
      </w:tr>
    </w:tbl>
    <w:p>
      <w:pPr>
        <w:pStyle w:val="9"/>
        <w:bidi w:val="0"/>
        <w:rPr>
          <w:rFonts w:hint="eastAsia"/>
          <w:lang w:val="en-US" w:eastAsia="zh-CN"/>
        </w:rPr>
      </w:pPr>
      <w:r>
        <w:rPr>
          <w:rFonts w:hint="eastAsia"/>
          <w:lang w:val="en-US" w:eastAsia="zh-CN"/>
        </w:rPr>
        <w:t>根据表4.3-1，本项目满足《合肥市预拌商品混凝土商硂站环境整治工作方案》各项要求。</w:t>
      </w:r>
    </w:p>
    <w:p>
      <w:pPr>
        <w:pStyle w:val="9"/>
        <w:bidi w:val="0"/>
        <w:spacing w:line="240" w:lineRule="auto"/>
        <w:rPr>
          <w:rFonts w:hint="default"/>
          <w:b/>
          <w:bCs/>
          <w:sz w:val="21"/>
          <w:szCs w:val="21"/>
          <w:lang w:val="en-US" w:eastAsia="zh-CN"/>
        </w:rPr>
      </w:pPr>
      <w:r>
        <w:rPr>
          <w:rFonts w:hint="eastAsia"/>
          <w:b/>
          <w:bCs/>
          <w:sz w:val="21"/>
          <w:szCs w:val="21"/>
          <w:lang w:val="en-US" w:eastAsia="zh-CN"/>
        </w:rPr>
        <w:t>注：2014年合肥东陆混凝土有限公司名义上为安徽省双龙混凝土有限公司分公司，故</w:t>
      </w:r>
      <w:r>
        <w:rPr>
          <w:rFonts w:hint="eastAsia"/>
          <w:b/>
          <w:bCs/>
          <w:color w:val="auto"/>
          <w:sz w:val="21"/>
          <w:szCs w:val="21"/>
          <w:lang w:val="en-US" w:eastAsia="zh-CN"/>
        </w:rPr>
        <w:t>长丰县环境保护局为对</w:t>
      </w:r>
      <w:r>
        <w:rPr>
          <w:rFonts w:hint="eastAsia"/>
          <w:b/>
          <w:bCs/>
          <w:sz w:val="21"/>
          <w:szCs w:val="21"/>
          <w:lang w:val="en-US" w:eastAsia="zh-CN"/>
        </w:rPr>
        <w:t>安徽省双龙混凝土有限公司下达了</w:t>
      </w:r>
      <w:r>
        <w:rPr>
          <w:rFonts w:hint="eastAsia"/>
          <w:b/>
          <w:bCs/>
          <w:color w:val="auto"/>
          <w:sz w:val="21"/>
          <w:szCs w:val="21"/>
          <w:lang w:val="en-US" w:eastAsia="zh-CN"/>
        </w:rPr>
        <w:t>《关于对混凝土搅拌站扬尘污染整治情况的验收意见》。</w:t>
      </w:r>
    </w:p>
    <w:p>
      <w:pPr>
        <w:pStyle w:val="9"/>
        <w:bidi w:val="0"/>
        <w:rPr>
          <w:rFonts w:hint="eastAsia"/>
          <w:lang w:val="en-US" w:eastAsia="zh-CN"/>
        </w:rPr>
      </w:pPr>
    </w:p>
    <w:p>
      <w:pPr>
        <w:pStyle w:val="9"/>
        <w:bidi w:val="0"/>
        <w:rPr>
          <w:rFonts w:hint="eastAsia"/>
          <w:lang w:val="en-US" w:eastAsia="zh-CN"/>
        </w:rPr>
      </w:pPr>
    </w:p>
    <w:p>
      <w:pPr>
        <w:rPr>
          <w:rFonts w:hint="eastAsia"/>
          <w:lang w:val="en-US" w:eastAsia="zh-CN"/>
        </w:rPr>
      </w:pPr>
      <w:r>
        <w:rPr>
          <w:rFonts w:hint="eastAsia"/>
          <w:lang w:val="en-US" w:eastAsia="zh-CN"/>
        </w:rPr>
        <w:br w:type="page"/>
      </w:r>
    </w:p>
    <w:p>
      <w:pPr>
        <w:pStyle w:val="15"/>
        <w:bidi w:val="0"/>
        <w:jc w:val="center"/>
        <w:rPr>
          <w:rFonts w:hint="eastAsia"/>
          <w:sz w:val="30"/>
          <w:szCs w:val="30"/>
          <w:lang w:val="en-US" w:eastAsia="zh-CN"/>
        </w:rPr>
      </w:pPr>
      <w:bookmarkStart w:id="18" w:name="_Toc29751"/>
      <w:r>
        <w:rPr>
          <w:rFonts w:hint="eastAsia"/>
          <w:sz w:val="30"/>
          <w:szCs w:val="30"/>
          <w:lang w:val="en-US" w:eastAsia="zh-CN"/>
        </w:rPr>
        <w:t>五、建设项目环评报告表的主要结论及审批部门审批决定</w:t>
      </w:r>
      <w:bookmarkEnd w:id="18"/>
    </w:p>
    <w:p>
      <w:pPr>
        <w:pStyle w:val="16"/>
        <w:bidi w:val="0"/>
        <w:rPr>
          <w:rFonts w:hint="eastAsia"/>
          <w:sz w:val="24"/>
          <w:szCs w:val="22"/>
          <w:lang w:val="en-US" w:eastAsia="zh-CN"/>
        </w:rPr>
      </w:pPr>
      <w:bookmarkStart w:id="19" w:name="_Toc31676"/>
      <w:r>
        <w:rPr>
          <w:rFonts w:hint="eastAsia"/>
          <w:sz w:val="24"/>
          <w:szCs w:val="22"/>
          <w:lang w:val="en-US" w:eastAsia="zh-CN"/>
        </w:rPr>
        <w:t>5.1合肥东陆混凝土有限公司混凝土生产项目环境影响报告表的主要结论与建议</w:t>
      </w:r>
      <w:bookmarkEnd w:id="19"/>
    </w:p>
    <w:p>
      <w:pPr>
        <w:pStyle w:val="9"/>
        <w:bidi w:val="0"/>
        <w:rPr>
          <w:rFonts w:hint="eastAsia"/>
          <w:lang w:val="en-US" w:eastAsia="zh-CN"/>
        </w:rPr>
      </w:pPr>
      <w:r>
        <w:rPr>
          <w:rFonts w:hint="eastAsia"/>
          <w:lang w:val="en-US" w:eastAsia="zh-CN"/>
        </w:rPr>
        <w:t>综上所述，该项目的实施符合长丰双凤经济开发区总体规划要求，由国发[2005]40号文《产业结构指导目录》可知，本项目不属于鼓励类、限制类和淘汰类的范畴，可以视为允许类，因此本项目的建设符合国家的产业政策。项目建成后主要环境问题是生产过程中的机械噪声和大气污染，采用本评价推荐的污染防治措施后，各项污染物基本可实现达标排放，且不会降低评价区域原有环境质量功能级别。因而，从环境角度而言，该项目是可行的。</w:t>
      </w:r>
    </w:p>
    <w:p>
      <w:pPr>
        <w:pStyle w:val="16"/>
        <w:bidi w:val="0"/>
        <w:rPr>
          <w:rFonts w:hint="eastAsia"/>
          <w:sz w:val="24"/>
          <w:szCs w:val="22"/>
          <w:lang w:val="en-US" w:eastAsia="zh-CN"/>
        </w:rPr>
      </w:pPr>
      <w:bookmarkStart w:id="20" w:name="_Toc9459"/>
      <w:r>
        <w:rPr>
          <w:rFonts w:hint="eastAsia"/>
          <w:sz w:val="24"/>
          <w:szCs w:val="22"/>
          <w:lang w:val="en-US" w:eastAsia="zh-CN"/>
        </w:rPr>
        <w:t>5.2合肥东陆混凝土有限公司混凝土生产项目环境影响报告表审批部门审批决定</w:t>
      </w:r>
      <w:bookmarkEnd w:id="20"/>
    </w:p>
    <w:p>
      <w:pPr>
        <w:pStyle w:val="9"/>
        <w:bidi w:val="0"/>
        <w:rPr>
          <w:rFonts w:hint="default"/>
          <w:lang w:val="en-US" w:eastAsia="zh-CN"/>
        </w:rPr>
      </w:pPr>
      <w:r>
        <w:rPr>
          <w:rFonts w:hint="eastAsia"/>
          <w:lang w:val="en-US" w:eastAsia="zh-CN"/>
        </w:rPr>
        <w:t>合肥东陆混凝土有限公司混凝土生产项目位于长丰双凤经济开发区阜阳北路以东、金兰路以南，租用华盛轻工（合肥）有限公司厂区15亩。东隔凤庆路为天风塑业有限公司，南邻国泰食品有限公司，西边为车床刨铣及饲料技工厂房，北隔金兰路为快马印务。主要建设内容为新建1个3立方米搅拌楼生产线、办公楼、食堂、化验室及相关配套附属设施，形成年产商品混凝土36万m</w:t>
      </w:r>
      <w:r>
        <w:rPr>
          <w:rFonts w:hint="eastAsia"/>
          <w:vertAlign w:val="superscript"/>
          <w:lang w:val="en-US" w:eastAsia="zh-CN"/>
        </w:rPr>
        <w:t>3</w:t>
      </w:r>
      <w:r>
        <w:rPr>
          <w:rFonts w:hint="eastAsia"/>
          <w:lang w:val="en-US" w:eastAsia="zh-CN"/>
        </w:rPr>
        <w:t>/a的生产能力。总投资1584万元，其中环保投资47万元。</w:t>
      </w:r>
    </w:p>
    <w:p>
      <w:pPr>
        <w:pStyle w:val="9"/>
        <w:bidi w:val="0"/>
        <w:rPr>
          <w:rFonts w:hint="eastAsia"/>
          <w:lang w:val="en-US" w:eastAsia="zh-CN"/>
        </w:rPr>
      </w:pPr>
      <w:r>
        <w:rPr>
          <w:rFonts w:hint="eastAsia"/>
          <w:lang w:val="en-US" w:eastAsia="zh-CN"/>
        </w:rPr>
        <w:t>经现场勘验及专家技术审核论证，该项目在落实各项污染防治措施后，基本可行，原则同意合肥市环境保护科学研究所编制的《报告表》提出的主要结论意见，我局同意该项目建设。批复如下：</w:t>
      </w:r>
    </w:p>
    <w:p>
      <w:pPr>
        <w:pStyle w:val="9"/>
        <w:bidi w:val="0"/>
        <w:rPr>
          <w:rFonts w:hint="eastAsia"/>
          <w:lang w:val="en-US" w:eastAsia="zh-CN"/>
        </w:rPr>
      </w:pPr>
      <w:r>
        <w:rPr>
          <w:rFonts w:hint="eastAsia"/>
          <w:lang w:val="en-US" w:eastAsia="zh-CN"/>
        </w:rPr>
        <w:t>一、项目环境质量标准及污染物排放标准按照本《报告表》要求执行。</w:t>
      </w:r>
    </w:p>
    <w:p>
      <w:pPr>
        <w:pStyle w:val="9"/>
        <w:bidi w:val="0"/>
        <w:rPr>
          <w:rFonts w:hint="eastAsia"/>
          <w:lang w:val="en-US" w:eastAsia="zh-CN"/>
        </w:rPr>
      </w:pPr>
      <w:r>
        <w:rPr>
          <w:rFonts w:hint="eastAsia"/>
          <w:lang w:val="en-US" w:eastAsia="zh-CN"/>
        </w:rPr>
        <w:t>二、施工期生活</w:t>
      </w:r>
      <w:r>
        <w:rPr>
          <w:rFonts w:hint="eastAsia"/>
          <w:color w:val="auto"/>
          <w:lang w:val="en-US" w:eastAsia="zh-CN"/>
        </w:rPr>
        <w:t>废水必须经预处理达标后方可外排。营运期废水纳入蔡田铺污水处理厂处理前，必须经项目自建污水处理站处理达到《污水综合排放标准》（GB8978-1996）一级标准后排入园区市政管网，纳入蔡田铺污水处理厂处理后，污废水必须经过预处理达到《污水综合排放标准》（GB8978-1996）三级标准后</w:t>
      </w:r>
      <w:r>
        <w:rPr>
          <w:rFonts w:hint="eastAsia"/>
          <w:lang w:val="en-US" w:eastAsia="zh-CN"/>
        </w:rPr>
        <w:t>排入园区市政管网。生产废水不许外排，由沉淀池及砂石分离机处理后，回收利用。</w:t>
      </w:r>
    </w:p>
    <w:p>
      <w:pPr>
        <w:pStyle w:val="9"/>
        <w:bidi w:val="0"/>
        <w:rPr>
          <w:rFonts w:hint="eastAsia"/>
          <w:lang w:val="en-US" w:eastAsia="zh-CN"/>
        </w:rPr>
      </w:pPr>
      <w:r>
        <w:rPr>
          <w:rFonts w:hint="eastAsia"/>
          <w:lang w:val="en-US" w:eastAsia="zh-CN"/>
        </w:rPr>
        <w:t>三、食堂炉灶必须使用清洁燃料，安装油烟净化设施，油烟排放执行《饮食业油烟排放标准》（GB18483-2001）规定。</w:t>
      </w:r>
    </w:p>
    <w:p>
      <w:pPr>
        <w:pStyle w:val="9"/>
        <w:bidi w:val="0"/>
        <w:rPr>
          <w:rFonts w:hint="eastAsia"/>
          <w:lang w:val="en-US" w:eastAsia="zh-CN"/>
        </w:rPr>
      </w:pPr>
      <w:r>
        <w:rPr>
          <w:rFonts w:hint="eastAsia"/>
          <w:lang w:val="en-US" w:eastAsia="zh-CN"/>
        </w:rPr>
        <w:t>四、按照环评要求，妥善处理圆筒料仓顶粉尘、下料及料场堆放过程中产生的粉尘，满足《水泥工业大气污染物排放标准》（GB4915-2004）要求。</w:t>
      </w:r>
    </w:p>
    <w:p>
      <w:pPr>
        <w:pStyle w:val="9"/>
        <w:bidi w:val="0"/>
        <w:rPr>
          <w:rFonts w:hint="eastAsia"/>
          <w:lang w:val="en-US" w:eastAsia="zh-CN"/>
        </w:rPr>
      </w:pPr>
      <w:r>
        <w:rPr>
          <w:rFonts w:hint="eastAsia"/>
          <w:lang w:val="en-US" w:eastAsia="zh-CN"/>
        </w:rPr>
        <w:t>五、加强生产噪声防治措施，确保满足《工业企业厂界噪声标准》（GB12348-90）</w:t>
      </w:r>
      <w:r>
        <w:rPr>
          <w:rFonts w:hint="eastAsia"/>
          <w:highlight w:val="none"/>
          <w:lang w:val="en-US" w:eastAsia="zh-CN"/>
        </w:rPr>
        <w:t>III类</w:t>
      </w:r>
      <w:r>
        <w:rPr>
          <w:rFonts w:hint="eastAsia"/>
          <w:lang w:val="en-US" w:eastAsia="zh-CN"/>
        </w:rPr>
        <w:t>标准。</w:t>
      </w:r>
    </w:p>
    <w:p>
      <w:pPr>
        <w:pStyle w:val="9"/>
        <w:bidi w:val="0"/>
        <w:rPr>
          <w:rFonts w:hint="default"/>
          <w:lang w:val="en-US" w:eastAsia="zh-CN"/>
        </w:rPr>
      </w:pPr>
      <w:r>
        <w:rPr>
          <w:rFonts w:hint="eastAsia"/>
          <w:lang w:val="en-US" w:eastAsia="zh-CN"/>
        </w:rPr>
        <w:t>六、加强固体废弃物的环境管理，实行分类收集处置。生活垃圾全部纳入环卫部门统一清运处理。</w:t>
      </w:r>
    </w:p>
    <w:p>
      <w:pPr>
        <w:pStyle w:val="9"/>
        <w:bidi w:val="0"/>
        <w:rPr>
          <w:rFonts w:hint="eastAsia"/>
          <w:lang w:val="en-US" w:eastAsia="zh-CN"/>
        </w:rPr>
      </w:pPr>
      <w:r>
        <w:rPr>
          <w:rFonts w:hint="eastAsia"/>
          <w:lang w:val="en-US" w:eastAsia="zh-CN"/>
        </w:rPr>
        <w:t>七、加强施工期环境管理，合理组织安排施工，及时清运弃土，采取有效措施防止水土流失和扬尘污染；严格执行《建筑施工厂界噪声限值》（GB12523-90）及《合肥市环境噪声污染防治条例》的有关规定，减少和降低施工机械噪声。</w:t>
      </w:r>
    </w:p>
    <w:p>
      <w:pPr>
        <w:pStyle w:val="9"/>
        <w:bidi w:val="0"/>
        <w:rPr>
          <w:rFonts w:hint="eastAsia"/>
          <w:lang w:val="en-US" w:eastAsia="zh-CN"/>
        </w:rPr>
      </w:pPr>
      <w:r>
        <w:rPr>
          <w:rFonts w:hint="eastAsia"/>
          <w:lang w:val="en-US" w:eastAsia="zh-CN"/>
        </w:rPr>
        <w:t>八、其他污染物防治措施必须按照环评要求执行，确保各项污染物稳定达标排放。</w:t>
      </w:r>
    </w:p>
    <w:p>
      <w:pPr>
        <w:pStyle w:val="9"/>
        <w:bidi w:val="0"/>
        <w:rPr>
          <w:rFonts w:hint="eastAsia"/>
          <w:lang w:val="en-US" w:eastAsia="zh-CN"/>
        </w:rPr>
      </w:pPr>
      <w:r>
        <w:rPr>
          <w:rFonts w:hint="eastAsia"/>
          <w:lang w:val="en-US" w:eastAsia="zh-CN"/>
        </w:rPr>
        <w:t>九、项目建成准备试运行时，需向长丰县环境监察大队递交试生产报告。试运行三个月内申请办理环保设施竣工验收手续。</w:t>
      </w: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21" w:name="_Toc19243"/>
      <w:r>
        <w:rPr>
          <w:rFonts w:hint="eastAsia"/>
          <w:sz w:val="30"/>
          <w:szCs w:val="30"/>
          <w:lang w:val="en-US" w:eastAsia="zh-CN"/>
        </w:rPr>
        <w:t>六、验收执行标准</w:t>
      </w:r>
      <w:bookmarkEnd w:id="21"/>
    </w:p>
    <w:p>
      <w:pPr>
        <w:pStyle w:val="16"/>
        <w:bidi w:val="0"/>
        <w:rPr>
          <w:rFonts w:hint="eastAsia"/>
          <w:sz w:val="24"/>
          <w:szCs w:val="22"/>
          <w:lang w:val="en-US" w:eastAsia="zh-CN"/>
        </w:rPr>
      </w:pPr>
      <w:bookmarkStart w:id="22" w:name="_Toc3933"/>
      <w:r>
        <w:rPr>
          <w:rFonts w:hint="eastAsia"/>
          <w:sz w:val="24"/>
          <w:szCs w:val="22"/>
          <w:lang w:val="en-US" w:eastAsia="zh-CN"/>
        </w:rPr>
        <w:t>6.1 废水验收监测评价标准</w:t>
      </w:r>
      <w:bookmarkEnd w:id="22"/>
    </w:p>
    <w:p>
      <w:pPr>
        <w:pStyle w:val="9"/>
        <w:bidi w:val="0"/>
        <w:rPr>
          <w:rFonts w:hint="eastAsia"/>
          <w:lang w:val="en-US" w:eastAsia="zh-CN"/>
        </w:rPr>
      </w:pPr>
      <w:r>
        <w:rPr>
          <w:rFonts w:hint="eastAsia"/>
          <w:lang w:val="en-US" w:eastAsia="zh-CN"/>
        </w:rPr>
        <w:t>根据原环评及批复要求：项目废水排放执行GB8978-1996《污水综合排放标准》中的三级标准，同时还应满足蔡田铺污水处理厂的接管标准。标准值如下表6.1-1：</w:t>
      </w:r>
    </w:p>
    <w:p>
      <w:pPr>
        <w:pStyle w:val="13"/>
        <w:bidi w:val="0"/>
        <w:rPr>
          <w:rFonts w:hint="eastAsia"/>
          <w:lang w:val="en-US" w:eastAsia="zh-CN"/>
        </w:rPr>
      </w:pPr>
      <w:r>
        <w:rPr>
          <w:rFonts w:hint="eastAsia"/>
          <w:lang w:val="en-US" w:eastAsia="zh-CN"/>
        </w:rPr>
        <w:t>表6.1-1    项目废水排放标准一览表    单位：mg/L</w:t>
      </w:r>
    </w:p>
    <w:tbl>
      <w:tblPr>
        <w:tblStyle w:val="10"/>
        <w:tblW w:w="8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3"/>
        <w:gridCol w:w="1039"/>
        <w:gridCol w:w="1040"/>
        <w:gridCol w:w="1039"/>
        <w:gridCol w:w="1039"/>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3"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039"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pH</w:t>
            </w:r>
          </w:p>
        </w:tc>
        <w:tc>
          <w:tcPr>
            <w:tcW w:w="1040"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COD</w:t>
            </w:r>
          </w:p>
        </w:tc>
        <w:tc>
          <w:tcPr>
            <w:tcW w:w="1039"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1039"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SS</w:t>
            </w:r>
          </w:p>
        </w:tc>
        <w:tc>
          <w:tcPr>
            <w:tcW w:w="1043"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NH</w:t>
            </w:r>
            <w:r>
              <w:rPr>
                <w:rFonts w:hint="default" w:ascii="Times New Roman" w:hAnsi="Times New Roman" w:eastAsia="宋体" w:cs="Times New Roman"/>
                <w:b/>
                <w:bCs/>
                <w:sz w:val="21"/>
                <w:szCs w:val="21"/>
                <w:vertAlign w:val="subscript"/>
              </w:rPr>
              <w:t>3</w:t>
            </w:r>
            <w:r>
              <w:rPr>
                <w:rFonts w:hint="default" w:ascii="Times New Roman" w:hAnsi="Times New Roman" w:eastAsia="宋体" w:cs="Times New Roman"/>
                <w:b/>
                <w:bCs/>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3"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蔡田铺污水处理厂接管标准</w:t>
            </w:r>
          </w:p>
        </w:tc>
        <w:tc>
          <w:tcPr>
            <w:tcW w:w="103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c>
          <w:tcPr>
            <w:tcW w:w="104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420</w:t>
            </w:r>
          </w:p>
        </w:tc>
        <w:tc>
          <w:tcPr>
            <w:tcW w:w="103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w:t>
            </w:r>
          </w:p>
        </w:tc>
        <w:tc>
          <w:tcPr>
            <w:tcW w:w="103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220</w:t>
            </w:r>
          </w:p>
        </w:tc>
        <w:tc>
          <w:tcPr>
            <w:tcW w:w="104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3"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GB8978-1996中三级标准</w:t>
            </w:r>
          </w:p>
        </w:tc>
        <w:tc>
          <w:tcPr>
            <w:tcW w:w="1039"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6~9</w:t>
            </w:r>
          </w:p>
        </w:tc>
        <w:tc>
          <w:tcPr>
            <w:tcW w:w="1040"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1039"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1039"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1043"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3"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本项目废水排放执行限值</w:t>
            </w:r>
          </w:p>
        </w:tc>
        <w:tc>
          <w:tcPr>
            <w:tcW w:w="1039"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c>
          <w:tcPr>
            <w:tcW w:w="104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420</w:t>
            </w:r>
          </w:p>
        </w:tc>
        <w:tc>
          <w:tcPr>
            <w:tcW w:w="103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w:t>
            </w:r>
          </w:p>
        </w:tc>
        <w:tc>
          <w:tcPr>
            <w:tcW w:w="103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220</w:t>
            </w:r>
          </w:p>
        </w:tc>
        <w:tc>
          <w:tcPr>
            <w:tcW w:w="1043" w:type="dxa"/>
            <w:vAlign w:val="center"/>
          </w:tcPr>
          <w:p>
            <w:pPr>
              <w:bidi w:val="0"/>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28</w:t>
            </w:r>
          </w:p>
        </w:tc>
      </w:tr>
    </w:tbl>
    <w:p>
      <w:pPr>
        <w:pStyle w:val="16"/>
        <w:bidi w:val="0"/>
        <w:rPr>
          <w:rFonts w:hint="eastAsia"/>
          <w:sz w:val="24"/>
          <w:szCs w:val="22"/>
          <w:lang w:val="en-US" w:eastAsia="zh-CN"/>
        </w:rPr>
      </w:pPr>
      <w:bookmarkStart w:id="23" w:name="_Toc2278"/>
      <w:r>
        <w:rPr>
          <w:rFonts w:hint="eastAsia"/>
          <w:sz w:val="24"/>
          <w:szCs w:val="22"/>
          <w:lang w:val="en-US" w:eastAsia="zh-CN"/>
        </w:rPr>
        <w:t>6.2 废气验收监测评价标准</w:t>
      </w:r>
      <w:bookmarkEnd w:id="23"/>
    </w:p>
    <w:p>
      <w:pPr>
        <w:pStyle w:val="9"/>
        <w:bidi w:val="0"/>
        <w:rPr>
          <w:rFonts w:hint="default"/>
          <w:color w:val="auto"/>
          <w:lang w:val="en-US" w:eastAsia="zh-CN"/>
        </w:rPr>
      </w:pPr>
      <w:r>
        <w:rPr>
          <w:rFonts w:hint="eastAsia"/>
          <w:color w:val="auto"/>
          <w:lang w:val="en-US" w:eastAsia="zh-CN"/>
        </w:rPr>
        <w:t>根据原环评及批复要求：大气污染物排放执行GB4915-2004《水泥工业大气污染物排放标准》。此标准首次发布于1985年，1996年第一次修订，2004年第二次修订，2013为第三次修订，自2014年3月1日起实施GB4915-2013《水泥工业大气污染物排放标准》。标准值如下表：</w:t>
      </w:r>
    </w:p>
    <w:p>
      <w:pPr>
        <w:pStyle w:val="13"/>
        <w:bidi w:val="0"/>
        <w:rPr>
          <w:rFonts w:hint="eastAsia"/>
          <w:color w:val="auto"/>
          <w:lang w:val="en-US" w:eastAsia="zh-CN"/>
        </w:rPr>
      </w:pPr>
      <w:r>
        <w:rPr>
          <w:rFonts w:hint="eastAsia"/>
          <w:color w:val="auto"/>
          <w:lang w:val="en-US" w:eastAsia="zh-CN"/>
        </w:rPr>
        <w:t>表6.2-1    项目大气污染物排放标准一览表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1506"/>
        <w:gridCol w:w="795"/>
        <w:gridCol w:w="1110"/>
        <w:gridCol w:w="915"/>
        <w:gridCol w:w="991"/>
        <w:gridCol w:w="1065"/>
        <w:gridCol w:w="1035"/>
        <w:gridCol w:w="1103"/>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gridAfter w:val="1"/>
          <w:wAfter w:w="2" w:type="dxa"/>
          <w:trHeight w:val="397" w:hRule="atLeast"/>
        </w:trPr>
        <w:tc>
          <w:tcPr>
            <w:tcW w:w="1506" w:type="dxa"/>
            <w:vMerge w:val="restart"/>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标准</w:t>
            </w:r>
          </w:p>
        </w:tc>
        <w:tc>
          <w:tcPr>
            <w:tcW w:w="795" w:type="dxa"/>
            <w:vMerge w:val="restart"/>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生产过程</w:t>
            </w:r>
          </w:p>
        </w:tc>
        <w:tc>
          <w:tcPr>
            <w:tcW w:w="1110" w:type="dxa"/>
            <w:vMerge w:val="restart"/>
            <w:vAlign w:val="center"/>
          </w:tcPr>
          <w:p>
            <w:pPr>
              <w:bidi w:val="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生产设备</w:t>
            </w:r>
          </w:p>
        </w:tc>
        <w:tc>
          <w:tcPr>
            <w:tcW w:w="915" w:type="dxa"/>
            <w:vMerge w:val="restart"/>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污染物</w:t>
            </w:r>
          </w:p>
        </w:tc>
        <w:tc>
          <w:tcPr>
            <w:tcW w:w="2056" w:type="dxa"/>
            <w:gridSpan w:val="2"/>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有组织排放</w:t>
            </w:r>
          </w:p>
        </w:tc>
        <w:tc>
          <w:tcPr>
            <w:tcW w:w="2138" w:type="dxa"/>
            <w:gridSpan w:val="2"/>
            <w:vAlign w:val="center"/>
          </w:tcPr>
          <w:p>
            <w:pPr>
              <w:bidi w:val="0"/>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397" w:hRule="atLeast"/>
        </w:trPr>
        <w:tc>
          <w:tcPr>
            <w:tcW w:w="1506" w:type="dxa"/>
            <w:vMerge w:val="continue"/>
            <w:vAlign w:val="center"/>
          </w:tcPr>
          <w:p>
            <w:pPr>
              <w:bidi w:val="0"/>
              <w:jc w:val="center"/>
              <w:rPr>
                <w:rFonts w:hint="default" w:ascii="Times New Roman" w:hAnsi="Times New Roman" w:eastAsia="宋体" w:cs="Times New Roman"/>
                <w:b/>
                <w:bCs/>
                <w:sz w:val="21"/>
                <w:szCs w:val="21"/>
                <w:lang w:val="en-US" w:eastAsia="zh-CN"/>
              </w:rPr>
            </w:pPr>
          </w:p>
        </w:tc>
        <w:tc>
          <w:tcPr>
            <w:tcW w:w="795" w:type="dxa"/>
            <w:vMerge w:val="continue"/>
            <w:vAlign w:val="center"/>
          </w:tcPr>
          <w:p>
            <w:pPr>
              <w:bidi w:val="0"/>
              <w:jc w:val="center"/>
              <w:rPr>
                <w:rFonts w:hint="default" w:ascii="Times New Roman" w:hAnsi="Times New Roman" w:eastAsia="宋体" w:cs="Times New Roman"/>
                <w:b/>
                <w:bCs/>
                <w:sz w:val="21"/>
                <w:szCs w:val="21"/>
                <w:lang w:val="en-US" w:eastAsia="zh-CN"/>
              </w:rPr>
            </w:pPr>
          </w:p>
        </w:tc>
        <w:tc>
          <w:tcPr>
            <w:tcW w:w="1110" w:type="dxa"/>
            <w:vMerge w:val="continue"/>
            <w:vAlign w:val="center"/>
          </w:tcPr>
          <w:p>
            <w:pPr>
              <w:bidi w:val="0"/>
              <w:jc w:val="center"/>
              <w:rPr>
                <w:rFonts w:hint="default" w:ascii="Times New Roman" w:hAnsi="Times New Roman" w:eastAsia="宋体" w:cs="Times New Roman"/>
                <w:b/>
                <w:bCs/>
                <w:sz w:val="21"/>
                <w:szCs w:val="21"/>
                <w:lang w:val="en-US" w:eastAsia="zh-CN"/>
              </w:rPr>
            </w:pPr>
          </w:p>
        </w:tc>
        <w:tc>
          <w:tcPr>
            <w:tcW w:w="915" w:type="dxa"/>
            <w:vMerge w:val="continue"/>
            <w:vAlign w:val="center"/>
          </w:tcPr>
          <w:p>
            <w:pPr>
              <w:bidi w:val="0"/>
              <w:jc w:val="center"/>
              <w:rPr>
                <w:rFonts w:hint="default" w:ascii="Times New Roman" w:hAnsi="Times New Roman" w:eastAsia="宋体" w:cs="Times New Roman"/>
                <w:b/>
                <w:bCs/>
                <w:sz w:val="21"/>
                <w:szCs w:val="21"/>
                <w:lang w:val="en-US" w:eastAsia="zh-CN"/>
              </w:rPr>
            </w:pPr>
          </w:p>
        </w:tc>
        <w:tc>
          <w:tcPr>
            <w:tcW w:w="991"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排放浓度mg/m</w:t>
            </w:r>
            <w:r>
              <w:rPr>
                <w:rFonts w:hint="eastAsia" w:ascii="Times New Roman" w:hAnsi="Times New Roman" w:eastAsia="宋体" w:cs="Times New Roman"/>
                <w:b/>
                <w:bCs/>
                <w:sz w:val="21"/>
                <w:szCs w:val="21"/>
                <w:vertAlign w:val="superscript"/>
                <w:lang w:val="en-US" w:eastAsia="zh-CN"/>
              </w:rPr>
              <w:t>3</w:t>
            </w:r>
          </w:p>
        </w:tc>
        <w:tc>
          <w:tcPr>
            <w:tcW w:w="1065"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单位产品排放量kg/t</w:t>
            </w:r>
          </w:p>
        </w:tc>
        <w:tc>
          <w:tcPr>
            <w:tcW w:w="1035" w:type="dxa"/>
            <w:vAlign w:val="center"/>
          </w:tcPr>
          <w:p>
            <w:pPr>
              <w:bidi w:val="0"/>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监控点</w:t>
            </w:r>
          </w:p>
        </w:tc>
        <w:tc>
          <w:tcPr>
            <w:tcW w:w="1105" w:type="dxa"/>
            <w:gridSpan w:val="2"/>
            <w:vAlign w:val="center"/>
          </w:tcPr>
          <w:p>
            <w:pPr>
              <w:bidi w:val="0"/>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浓度限值</w:t>
            </w:r>
            <w:r>
              <w:rPr>
                <w:rFonts w:hint="eastAsia" w:ascii="Times New Roman" w:hAnsi="Times New Roman" w:eastAsia="宋体" w:cs="Times New Roman"/>
                <w:b/>
                <w:bCs/>
                <w:sz w:val="21"/>
                <w:szCs w:val="21"/>
                <w:lang w:val="en-US" w:eastAsia="zh-CN"/>
              </w:rPr>
              <w:t>mg/m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397" w:hRule="atLeast"/>
        </w:trPr>
        <w:tc>
          <w:tcPr>
            <w:tcW w:w="1506"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GB4915-2004《水泥工业大气污染物排放标准》</w:t>
            </w:r>
          </w:p>
        </w:tc>
        <w:tc>
          <w:tcPr>
            <w:tcW w:w="79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水泥制品生产</w:t>
            </w:r>
          </w:p>
        </w:tc>
        <w:tc>
          <w:tcPr>
            <w:tcW w:w="1110"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水泥仓及其他通风生产设备</w:t>
            </w:r>
          </w:p>
        </w:tc>
        <w:tc>
          <w:tcPr>
            <w:tcW w:w="91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lang w:val="en-US" w:eastAsia="zh-CN"/>
              </w:rPr>
              <w:t>颗粒物</w:t>
            </w:r>
          </w:p>
        </w:tc>
        <w:tc>
          <w:tcPr>
            <w:tcW w:w="99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06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3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厂界外20m处</w:t>
            </w:r>
          </w:p>
        </w:tc>
        <w:tc>
          <w:tcPr>
            <w:tcW w:w="1105" w:type="dxa"/>
            <w:gridSpan w:val="2"/>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397" w:hRule="atLeast"/>
        </w:trPr>
        <w:tc>
          <w:tcPr>
            <w:tcW w:w="1506"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GB4915-2013《水泥工业大气污染物排放标准》</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vertAlign w:val="superscript"/>
                <w:lang w:val="en-US" w:eastAsia="zh-CN"/>
              </w:rPr>
              <w:t>1</w:t>
            </w:r>
          </w:p>
        </w:tc>
        <w:tc>
          <w:tcPr>
            <w:tcW w:w="795"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散装水泥中转站及水泥制品生产</w:t>
            </w:r>
          </w:p>
        </w:tc>
        <w:tc>
          <w:tcPr>
            <w:tcW w:w="1110" w:type="dxa"/>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水泥仓及其他通风生产设备</w:t>
            </w:r>
          </w:p>
        </w:tc>
        <w:tc>
          <w:tcPr>
            <w:tcW w:w="915" w:type="dxa"/>
            <w:vAlign w:val="center"/>
          </w:tcPr>
          <w:p>
            <w:pPr>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颗粒物</w:t>
            </w:r>
          </w:p>
        </w:tc>
        <w:tc>
          <w:tcPr>
            <w:tcW w:w="99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06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3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厂界外20m处上风向设参照点，下风向设监控点</w:t>
            </w:r>
          </w:p>
        </w:tc>
        <w:tc>
          <w:tcPr>
            <w:tcW w:w="1105" w:type="dxa"/>
            <w:gridSpan w:val="2"/>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Ex>
        <w:trPr>
          <w:trHeight w:val="397" w:hRule="atLeast"/>
        </w:trPr>
        <w:tc>
          <w:tcPr>
            <w:tcW w:w="8522" w:type="dxa"/>
            <w:gridSpan w:val="9"/>
            <w:vAlign w:val="center"/>
          </w:tcPr>
          <w:p>
            <w:pPr>
              <w:bidi w:val="0"/>
              <w:jc w:val="left"/>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bCs/>
                <w:sz w:val="21"/>
                <w:szCs w:val="21"/>
                <w:lang w:val="en-US" w:eastAsia="zh-CN"/>
              </w:rPr>
              <w:t>注：</w:t>
            </w:r>
          </w:p>
          <w:p>
            <w:pPr>
              <w:bidi w:val="0"/>
              <w:jc w:val="left"/>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vertAlign w:val="superscript"/>
                <w:lang w:val="en-US" w:eastAsia="zh-CN"/>
              </w:rPr>
              <w:t>1</w:t>
            </w:r>
            <w:r>
              <w:rPr>
                <w:rFonts w:hint="eastAsia" w:ascii="Times New Roman" w:hAnsi="Times New Roman" w:eastAsia="宋体" w:cs="Times New Roman"/>
                <w:b w:val="0"/>
                <w:bCs w:val="0"/>
                <w:sz w:val="21"/>
                <w:szCs w:val="21"/>
                <w:lang w:val="en-US" w:eastAsia="zh-CN"/>
              </w:rPr>
              <w:t>：本项目位于合肥市，属于重点地区企业，执行</w:t>
            </w:r>
            <w:r>
              <w:rPr>
                <w:rFonts w:hint="eastAsia" w:ascii="Times New Roman" w:hAnsi="Times New Roman" w:eastAsia="宋体" w:cs="Times New Roman"/>
                <w:sz w:val="21"/>
                <w:szCs w:val="21"/>
                <w:lang w:val="en-US" w:eastAsia="zh-CN"/>
              </w:rPr>
              <w:t>GB4915-2013《水泥工业大气污染物排放标准》表2规定的特别</w:t>
            </w:r>
            <w:r>
              <w:rPr>
                <w:rFonts w:hint="eastAsia" w:ascii="Times New Roman" w:hAnsi="Times New Roman" w:eastAsia="宋体" w:cs="Times New Roman"/>
                <w:sz w:val="21"/>
                <w:szCs w:val="21"/>
                <w:highlight w:val="none"/>
                <w:lang w:val="en-US" w:eastAsia="zh-CN"/>
              </w:rPr>
              <w:t>排放限值</w:t>
            </w:r>
            <w:r>
              <w:rPr>
                <w:rFonts w:hint="eastAsia" w:ascii="Times New Roman" w:hAnsi="Times New Roman" w:eastAsia="宋体" w:cs="Times New Roman"/>
                <w:sz w:val="21"/>
                <w:szCs w:val="21"/>
                <w:lang w:val="en-US" w:eastAsia="zh-CN"/>
              </w:rPr>
              <w:t>；</w:t>
            </w:r>
          </w:p>
          <w:p>
            <w:pPr>
              <w:bidi w:val="0"/>
              <w:jc w:val="left"/>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vertAlign w:val="superscript"/>
                <w:lang w:val="en-US" w:eastAsia="zh-CN"/>
              </w:rPr>
              <w:t>2</w:t>
            </w:r>
            <w:r>
              <w:rPr>
                <w:rFonts w:hint="eastAsia" w:ascii="Times New Roman" w:hAnsi="Times New Roman" w:eastAsia="宋体" w:cs="Times New Roman"/>
                <w:b w:val="0"/>
                <w:bCs w:val="0"/>
                <w:sz w:val="21"/>
                <w:szCs w:val="21"/>
                <w:lang w:val="en-US" w:eastAsia="zh-CN"/>
              </w:rPr>
              <w:t>：浓度限值含义：监控点与参照点总悬浮颗粒物（TSP）1小时浓度值的差值。</w:t>
            </w:r>
          </w:p>
        </w:tc>
      </w:tr>
    </w:tbl>
    <w:p>
      <w:pPr>
        <w:pStyle w:val="16"/>
        <w:bidi w:val="0"/>
        <w:rPr>
          <w:rFonts w:hint="eastAsia"/>
          <w:sz w:val="24"/>
          <w:szCs w:val="22"/>
          <w:lang w:val="en-US" w:eastAsia="zh-CN"/>
        </w:rPr>
      </w:pPr>
      <w:bookmarkStart w:id="24" w:name="_Toc18910"/>
      <w:r>
        <w:rPr>
          <w:rFonts w:hint="eastAsia"/>
          <w:sz w:val="24"/>
          <w:szCs w:val="22"/>
          <w:lang w:val="en-US" w:eastAsia="zh-CN"/>
        </w:rPr>
        <w:t>6.3 噪声验收监测评价标准</w:t>
      </w:r>
      <w:bookmarkEnd w:id="24"/>
    </w:p>
    <w:p>
      <w:pPr>
        <w:pStyle w:val="9"/>
        <w:bidi w:val="0"/>
        <w:rPr>
          <w:rFonts w:hint="eastAsia"/>
          <w:lang w:val="en-US" w:eastAsia="zh-CN"/>
        </w:rPr>
      </w:pPr>
      <w:r>
        <w:rPr>
          <w:rFonts w:hint="eastAsia"/>
          <w:lang w:val="en-US" w:eastAsia="zh-CN"/>
        </w:rPr>
        <w:t>根据原环评及批复要求：项目厂界噪声执行GB12348-90《工业企业厂界环境噪声排放标准》中的</w:t>
      </w:r>
      <w:r>
        <w:rPr>
          <w:rFonts w:hint="eastAsia"/>
          <w:highlight w:val="none"/>
          <w:lang w:val="en-US" w:eastAsia="zh-CN"/>
        </w:rPr>
        <w:t>III类</w:t>
      </w:r>
      <w:r>
        <w:rPr>
          <w:rFonts w:hint="eastAsia"/>
          <w:lang w:val="en-US" w:eastAsia="zh-CN"/>
        </w:rPr>
        <w:t>标准。此标准于1990年首次发布，2008年第一次修订，自2008年10月1日起实施GB12348-2008《工业企业厂界环境噪声排放标准》，标准值如下表：</w:t>
      </w:r>
    </w:p>
    <w:p>
      <w:pPr>
        <w:pStyle w:val="13"/>
        <w:bidi w:val="0"/>
        <w:rPr>
          <w:rFonts w:hint="eastAsia"/>
          <w:lang w:val="en-US" w:eastAsia="zh-CN"/>
        </w:rPr>
      </w:pPr>
      <w:r>
        <w:rPr>
          <w:rFonts w:hint="eastAsia"/>
          <w:lang w:val="en-US" w:eastAsia="zh-CN"/>
        </w:rPr>
        <w:t>表6.3-1     项目厂界环境噪声排放标准一览表  单位：dB（A）</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6"/>
        <w:gridCol w:w="1740"/>
        <w:gridCol w:w="1603"/>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76" w:type="dxa"/>
            <w:vMerge w:val="restart"/>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标准</w:t>
            </w:r>
          </w:p>
        </w:tc>
        <w:tc>
          <w:tcPr>
            <w:tcW w:w="1740" w:type="dxa"/>
            <w:vMerge w:val="restart"/>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功能区类别</w:t>
            </w:r>
          </w:p>
        </w:tc>
        <w:tc>
          <w:tcPr>
            <w:tcW w:w="3206" w:type="dxa"/>
            <w:gridSpan w:val="2"/>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76" w:type="dxa"/>
            <w:vMerge w:val="continue"/>
            <w:vAlign w:val="center"/>
          </w:tcPr>
          <w:p>
            <w:pPr>
              <w:bidi w:val="0"/>
              <w:jc w:val="center"/>
              <w:rPr>
                <w:rFonts w:hint="eastAsia" w:ascii="Times New Roman" w:hAnsi="Times New Roman" w:eastAsia="宋体" w:cs="Times New Roman"/>
                <w:b/>
                <w:bCs/>
                <w:sz w:val="21"/>
                <w:szCs w:val="21"/>
                <w:lang w:val="en-US" w:eastAsia="zh-CN"/>
              </w:rPr>
            </w:pPr>
          </w:p>
        </w:tc>
        <w:tc>
          <w:tcPr>
            <w:tcW w:w="1740" w:type="dxa"/>
            <w:vMerge w:val="continue"/>
            <w:vAlign w:val="center"/>
          </w:tcPr>
          <w:p>
            <w:pPr>
              <w:bidi w:val="0"/>
              <w:jc w:val="center"/>
              <w:rPr>
                <w:rFonts w:hint="eastAsia" w:ascii="Times New Roman" w:hAnsi="Times New Roman" w:eastAsia="宋体" w:cs="Times New Roman"/>
                <w:b/>
                <w:bCs/>
                <w:sz w:val="21"/>
                <w:szCs w:val="21"/>
                <w:lang w:val="en-US" w:eastAsia="zh-CN"/>
              </w:rPr>
            </w:pPr>
          </w:p>
        </w:tc>
        <w:tc>
          <w:tcPr>
            <w:tcW w:w="1603" w:type="dxa"/>
            <w:vAlign w:val="center"/>
          </w:tcPr>
          <w:p>
            <w:pPr>
              <w:bidi w:val="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昼间</w:t>
            </w:r>
          </w:p>
        </w:tc>
        <w:tc>
          <w:tcPr>
            <w:tcW w:w="1603" w:type="dxa"/>
            <w:vAlign w:val="center"/>
          </w:tcPr>
          <w:p>
            <w:pPr>
              <w:bidi w:val="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76"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GB12348-90</w:t>
            </w:r>
          </w:p>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w:t>
            </w:r>
          </w:p>
        </w:tc>
        <w:tc>
          <w:tcPr>
            <w:tcW w:w="174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III</w:t>
            </w:r>
          </w:p>
        </w:tc>
        <w:tc>
          <w:tcPr>
            <w:tcW w:w="160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160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3576"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w:t>
            </w:r>
            <w:r>
              <w:rPr>
                <w:rFonts w:hint="eastAsia" w:ascii="Times New Roman" w:hAnsi="Times New Roman" w:eastAsia="宋体" w:cs="Times New Roman"/>
                <w:sz w:val="21"/>
                <w:szCs w:val="21"/>
                <w:lang w:val="en-US" w:eastAsia="zh-CN"/>
              </w:rPr>
              <w:t>2008</w:t>
            </w:r>
          </w:p>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w:t>
            </w:r>
          </w:p>
        </w:tc>
        <w:tc>
          <w:tcPr>
            <w:tcW w:w="174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3类</w:t>
            </w:r>
          </w:p>
        </w:tc>
        <w:tc>
          <w:tcPr>
            <w:tcW w:w="160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160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r>
    </w:tbl>
    <w:p>
      <w:pPr>
        <w:pStyle w:val="16"/>
        <w:bidi w:val="0"/>
        <w:rPr>
          <w:rFonts w:hint="eastAsia"/>
          <w:sz w:val="24"/>
          <w:szCs w:val="22"/>
          <w:lang w:val="en-US" w:eastAsia="zh-CN"/>
        </w:rPr>
      </w:pPr>
      <w:bookmarkStart w:id="25" w:name="_Toc15983"/>
      <w:r>
        <w:rPr>
          <w:rFonts w:hint="eastAsia"/>
          <w:sz w:val="24"/>
          <w:szCs w:val="22"/>
          <w:lang w:val="en-US" w:eastAsia="zh-CN"/>
        </w:rPr>
        <w:t>6.4 固废验收评价标准</w:t>
      </w:r>
      <w:bookmarkEnd w:id="25"/>
    </w:p>
    <w:p>
      <w:pPr>
        <w:pStyle w:val="9"/>
        <w:bidi w:val="0"/>
        <w:rPr>
          <w:rFonts w:hint="eastAsia"/>
          <w:lang w:val="en-US" w:eastAsia="zh-CN"/>
        </w:rPr>
      </w:pPr>
      <w:r>
        <w:rPr>
          <w:rFonts w:hint="eastAsia"/>
          <w:lang w:val="en-US" w:eastAsia="zh-CN"/>
        </w:rPr>
        <w:t>一般工业固废执行GB18599-2001《一般工业固体废物贮存、处置场污染控制标准》及其2013年修改单内容的有关规定。</w:t>
      </w:r>
    </w:p>
    <w:p>
      <w:pPr>
        <w:pStyle w:val="9"/>
        <w:bidi w:val="0"/>
        <w:rPr>
          <w:rFonts w:hint="eastAsia"/>
          <w:lang w:val="en-US" w:eastAsia="zh-CN"/>
        </w:rPr>
      </w:pP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26" w:name="_Toc14784"/>
      <w:r>
        <w:rPr>
          <w:rFonts w:hint="eastAsia"/>
          <w:sz w:val="30"/>
          <w:szCs w:val="30"/>
          <w:lang w:val="en-US" w:eastAsia="zh-CN"/>
        </w:rPr>
        <w:t>七、验收监测内容</w:t>
      </w:r>
      <w:bookmarkEnd w:id="26"/>
    </w:p>
    <w:p>
      <w:pPr>
        <w:pStyle w:val="16"/>
        <w:bidi w:val="0"/>
        <w:rPr>
          <w:rFonts w:hint="eastAsia"/>
          <w:sz w:val="24"/>
          <w:szCs w:val="22"/>
          <w:lang w:val="en-US" w:eastAsia="zh-CN"/>
        </w:rPr>
      </w:pPr>
      <w:bookmarkStart w:id="27" w:name="_Toc32367"/>
      <w:r>
        <w:rPr>
          <w:rFonts w:hint="eastAsia"/>
          <w:sz w:val="24"/>
          <w:szCs w:val="22"/>
          <w:lang w:val="en-US" w:eastAsia="zh-CN"/>
        </w:rPr>
        <w:t>7.1 环境保护设施调试运行效果</w:t>
      </w:r>
      <w:bookmarkEnd w:id="27"/>
    </w:p>
    <w:p>
      <w:pPr>
        <w:pStyle w:val="9"/>
        <w:bidi w:val="0"/>
        <w:rPr>
          <w:rFonts w:hint="eastAsia"/>
          <w:lang w:val="en-US" w:eastAsia="zh-CN"/>
        </w:rPr>
      </w:pPr>
      <w:r>
        <w:rPr>
          <w:rFonts w:hint="eastAsia"/>
          <w:lang w:val="en-US" w:eastAsia="zh-CN"/>
        </w:rPr>
        <w:t>根据现场踏勘时，对该项目主要污染源污染物排放情况及环境保护设施建设运行情况调查结果以及长丰县环境保护局表、长环建[2008]9号《合肥东陆混凝土有限公司混凝土生产项目&lt;环境影响报告表&gt;批复》的要求，确定本次验收监测内容。</w:t>
      </w:r>
    </w:p>
    <w:p>
      <w:pPr>
        <w:pStyle w:val="17"/>
        <w:bidi w:val="0"/>
        <w:rPr>
          <w:rFonts w:hint="eastAsia"/>
          <w:lang w:val="en-US" w:eastAsia="zh-CN"/>
        </w:rPr>
      </w:pPr>
      <w:r>
        <w:rPr>
          <w:rFonts w:hint="eastAsia"/>
          <w:lang w:val="en-US" w:eastAsia="zh-CN"/>
        </w:rPr>
        <w:t>7.1.1 废水</w:t>
      </w:r>
    </w:p>
    <w:p>
      <w:pPr>
        <w:pStyle w:val="9"/>
        <w:bidi w:val="0"/>
        <w:rPr>
          <w:rFonts w:hint="eastAsia"/>
          <w:lang w:val="en-US" w:eastAsia="zh-CN"/>
        </w:rPr>
      </w:pPr>
      <w:r>
        <w:rPr>
          <w:rFonts w:hint="eastAsia"/>
          <w:lang w:val="en-US" w:eastAsia="zh-CN"/>
        </w:rPr>
        <w:t>本项目废水监测布点详见图7.1-1：项目废水监测点位示意图。</w:t>
      </w:r>
    </w:p>
    <w:p>
      <w:pPr>
        <w:pStyle w:val="9"/>
        <w:bidi w:val="0"/>
        <w:rPr>
          <w:rFonts w:hint="eastAsia"/>
          <w:lang w:val="en-US" w:eastAsia="zh-CN"/>
        </w:rPr>
      </w:pPr>
      <w:r>
        <w:rPr>
          <w:rFonts w:hint="eastAsia"/>
          <w:lang w:val="en-US" w:eastAsia="zh-CN"/>
        </w:rPr>
        <w:t>废水监测因子及监测频次见表7.1-1。</w:t>
      </w:r>
    </w:p>
    <w:p>
      <w:pPr>
        <w:pStyle w:val="13"/>
        <w:bidi w:val="0"/>
        <w:rPr>
          <w:rFonts w:hint="eastAsia"/>
          <w:lang w:val="en-US" w:eastAsia="zh-CN"/>
        </w:rPr>
      </w:pPr>
      <w:r>
        <w:rPr>
          <w:rFonts w:hint="eastAsia"/>
          <w:lang w:val="en-US" w:eastAsia="zh-CN"/>
        </w:rPr>
        <w:t>表7.1-1    废水的监测因子及监测频次一览表</w:t>
      </w:r>
    </w:p>
    <w:tbl>
      <w:tblPr>
        <w:tblStyle w:val="10"/>
        <w:tblW w:w="8476"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
      <w:tblGrid>
        <w:gridCol w:w="663"/>
        <w:gridCol w:w="1893"/>
        <w:gridCol w:w="1183"/>
        <w:gridCol w:w="2900"/>
        <w:gridCol w:w="183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trPr>
        <w:tc>
          <w:tcPr>
            <w:tcW w:w="663" w:type="dxa"/>
            <w:tcBorders>
              <w:bottom w:val="single" w:color="000000"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类别</w:t>
            </w:r>
          </w:p>
        </w:tc>
        <w:tc>
          <w:tcPr>
            <w:tcW w:w="1893"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监测位置</w:t>
            </w:r>
          </w:p>
        </w:tc>
        <w:tc>
          <w:tcPr>
            <w:tcW w:w="1183"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点位</w:t>
            </w:r>
          </w:p>
        </w:tc>
        <w:tc>
          <w:tcPr>
            <w:tcW w:w="2900" w:type="dxa"/>
            <w:tcBorders>
              <w:left w:val="single" w:color="000000" w:sz="4" w:space="0"/>
              <w:bottom w:val="single" w:color="000000"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监测因子</w:t>
            </w:r>
          </w:p>
        </w:tc>
        <w:tc>
          <w:tcPr>
            <w:tcW w:w="1837" w:type="dxa"/>
            <w:tcBorders>
              <w:left w:val="single" w:color="000000" w:sz="4" w:space="0"/>
              <w:bottom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trPr>
        <w:tc>
          <w:tcPr>
            <w:tcW w:w="663" w:type="dxa"/>
            <w:tcBorders>
              <w:top w:val="single" w:color="000000"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1893"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污水总排口</w:t>
            </w:r>
          </w:p>
        </w:tc>
        <w:tc>
          <w:tcPr>
            <w:tcW w:w="1183"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w:t>
            </w:r>
          </w:p>
        </w:tc>
        <w:tc>
          <w:tcPr>
            <w:tcW w:w="2900" w:type="dxa"/>
            <w:tcBorders>
              <w:top w:val="single" w:color="000000" w:sz="4" w:space="0"/>
              <w:left w:val="single" w:color="000000"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pH</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SS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COD</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BOD</w:t>
            </w:r>
            <w:r>
              <w:rPr>
                <w:rFonts w:hint="default" w:ascii="Times New Roman" w:hAnsi="Times New Roman" w:eastAsia="宋体" w:cs="Times New Roman"/>
                <w:sz w:val="21"/>
                <w:szCs w:val="21"/>
                <w:vertAlign w:val="subscript"/>
                <w:lang w:eastAsia="zh-CN"/>
              </w:rPr>
              <w:t>5</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氨氮</w:t>
            </w:r>
          </w:p>
        </w:tc>
        <w:tc>
          <w:tcPr>
            <w:tcW w:w="1837" w:type="dxa"/>
            <w:tcBorders>
              <w:top w:val="single" w:color="000000" w:sz="4" w:space="0"/>
              <w:lef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eastAsia="zh-CN"/>
              </w:rPr>
              <w:t>次/天，共2天</w:t>
            </w:r>
          </w:p>
        </w:tc>
      </w:tr>
    </w:tbl>
    <w:p>
      <w:pPr>
        <w:bidi w:val="0"/>
        <w:jc w:val="center"/>
        <w:rPr>
          <w:rFonts w:hint="eastAsia"/>
          <w:lang w:val="en-US" w:eastAsia="zh-CN"/>
        </w:rPr>
      </w:pPr>
      <w:r>
        <w:rPr>
          <w:rFonts w:hint="eastAsia"/>
          <w:lang w:val="en-US" w:eastAsia="zh-CN"/>
        </w:rPr>
        <w:object>
          <v:shape id="_x0000_i1031" o:spt="75" type="#_x0000_t75" style="height:363.5pt;width:327.35pt;" o:ole="t" filled="f" o:preferrelative="t" stroked="t" coordsize="21600,21600">
            <v:path/>
            <v:fill on="f" focussize="0,0"/>
            <v:stroke weight="1pt" color="#000000"/>
            <v:imagedata r:id="rId35" o:title=""/>
            <o:lock v:ext="edit" aspectratio="f"/>
            <w10:wrap type="none"/>
            <w10:anchorlock/>
          </v:shape>
          <o:OLEObject Type="Embed" ProgID="Visio.Drawing.11" ShapeID="_x0000_i1031" DrawAspect="Content" ObjectID="_1468075731" r:id="rId34">
            <o:LockedField>false</o:LockedField>
          </o:OLEObject>
        </w:object>
      </w:r>
    </w:p>
    <w:p>
      <w:pPr>
        <w:pStyle w:val="13"/>
        <w:bidi w:val="0"/>
        <w:rPr>
          <w:rFonts w:hint="eastAsia"/>
          <w:lang w:val="en-US" w:eastAsia="zh-CN"/>
        </w:rPr>
      </w:pPr>
      <w:r>
        <w:rPr>
          <w:rFonts w:hint="eastAsia"/>
          <w:lang w:val="en-US" w:eastAsia="zh-CN"/>
        </w:rPr>
        <w:t>图7.1-1    项目废水监测点位示意图</w:t>
      </w:r>
    </w:p>
    <w:p>
      <w:pPr>
        <w:pStyle w:val="17"/>
        <w:bidi w:val="0"/>
        <w:rPr>
          <w:rFonts w:hint="eastAsia"/>
          <w:sz w:val="24"/>
          <w:szCs w:val="24"/>
          <w:lang w:val="en-US" w:eastAsia="zh-CN"/>
        </w:rPr>
      </w:pPr>
      <w:r>
        <w:rPr>
          <w:rFonts w:hint="eastAsia"/>
          <w:sz w:val="24"/>
          <w:szCs w:val="24"/>
          <w:lang w:val="en-US" w:eastAsia="zh-CN"/>
        </w:rPr>
        <w:t>7.1.2 废气</w:t>
      </w:r>
    </w:p>
    <w:p>
      <w:pPr>
        <w:pStyle w:val="9"/>
        <w:bidi w:val="0"/>
        <w:rPr>
          <w:rFonts w:hint="eastAsia"/>
          <w:lang w:val="en-US" w:eastAsia="zh-CN"/>
        </w:rPr>
      </w:pPr>
      <w:r>
        <w:rPr>
          <w:rFonts w:hint="eastAsia"/>
          <w:lang w:val="en-US" w:eastAsia="zh-CN"/>
        </w:rPr>
        <w:t>本项目有组织废气监测布点详见图7.1-2：有组织废气监测点位示意图。</w:t>
      </w:r>
    </w:p>
    <w:p>
      <w:pPr>
        <w:pStyle w:val="9"/>
        <w:bidi w:val="0"/>
        <w:rPr>
          <w:rFonts w:hint="eastAsia"/>
          <w:lang w:val="en-US" w:eastAsia="zh-CN"/>
        </w:rPr>
      </w:pPr>
      <w:r>
        <w:rPr>
          <w:rFonts w:hint="eastAsia"/>
          <w:lang w:val="en-US" w:eastAsia="zh-CN"/>
        </w:rPr>
        <w:t>有组织废气监测因子及监测频次见表7.1-2。</w:t>
      </w:r>
    </w:p>
    <w:p>
      <w:pPr>
        <w:pStyle w:val="13"/>
        <w:bidi w:val="0"/>
        <w:rPr>
          <w:rFonts w:hint="eastAsia"/>
          <w:lang w:val="en-US" w:eastAsia="zh-CN"/>
        </w:rPr>
      </w:pPr>
      <w:r>
        <w:rPr>
          <w:rFonts w:hint="eastAsia"/>
          <w:lang w:val="en-US" w:eastAsia="zh-CN"/>
        </w:rPr>
        <w:t>表7.1-2    有组织废气排放源的监测因子及监测频次</w:t>
      </w:r>
    </w:p>
    <w:tbl>
      <w:tblPr>
        <w:tblStyle w:val="10"/>
        <w:tblW w:w="8476"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
      <w:tblGrid>
        <w:gridCol w:w="911"/>
        <w:gridCol w:w="1990"/>
        <w:gridCol w:w="1084"/>
        <w:gridCol w:w="2203"/>
        <w:gridCol w:w="228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911" w:type="dxa"/>
            <w:tcBorders>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类别</w:t>
            </w:r>
          </w:p>
        </w:tc>
        <w:tc>
          <w:tcPr>
            <w:tcW w:w="1990" w:type="dxa"/>
            <w:tcBorders>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监测位置</w:t>
            </w:r>
          </w:p>
        </w:tc>
        <w:tc>
          <w:tcPr>
            <w:tcW w:w="1084" w:type="dxa"/>
            <w:tcBorders>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701248" behindDoc="0" locked="0" layoutInCell="1" allowOverlap="1">
                      <wp:simplePos x="0" y="0"/>
                      <wp:positionH relativeFrom="column">
                        <wp:posOffset>258445</wp:posOffset>
                      </wp:positionH>
                      <wp:positionV relativeFrom="paragraph">
                        <wp:posOffset>233680</wp:posOffset>
                      </wp:positionV>
                      <wp:extent cx="257175" cy="268605"/>
                      <wp:effectExtent l="0" t="0" r="0" b="0"/>
                      <wp:wrapNone/>
                      <wp:docPr id="1" name="矩形 1"/>
                      <wp:cNvGraphicFramePr/>
                      <a:graphic xmlns:a="http://schemas.openxmlformats.org/drawingml/2006/main">
                        <a:graphicData uri="http://schemas.microsoft.com/office/word/2010/wordprocessingShape">
                          <wps:wsp>
                            <wps:cNvSpPr/>
                            <wps:spPr>
                              <a:xfrm>
                                <a:off x="0" y="0"/>
                                <a:ext cx="257175" cy="268605"/>
                              </a:xfrm>
                              <a:prstGeom prst="rect">
                                <a:avLst/>
                              </a:prstGeom>
                              <a:noFill/>
                              <a:ln>
                                <a:noFill/>
                              </a:ln>
                            </wps:spPr>
                            <wps:txbx>
                              <w:txbxContent>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xbxContent>
                            </wps:txbx>
                            <wps:bodyPr upright="1"/>
                          </wps:wsp>
                        </a:graphicData>
                      </a:graphic>
                    </wp:anchor>
                  </w:drawing>
                </mc:Choice>
                <mc:Fallback>
                  <w:pict>
                    <v:rect id="_x0000_s1026" o:spid="_x0000_s1026" o:spt="1" style="position:absolute;left:0pt;margin-left:20.35pt;margin-top:18.4pt;height:21.15pt;width:20.25pt;z-index:251701248;mso-width-relative:page;mso-height-relative:page;" filled="f" stroked="f" coordsize="21600,21600" o:gfxdata="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KvOftkAAAAHAQAADwAAAAAAAAABACAAAAAiAAAAZHJzL2Rvd25yZXYueG1sUEsB&#10;AhQAFAAAAAgAh07iQGLw+SOCAQAA8gIAAA4AAAAAAAAAAQAgAAAAKAEAAGRycy9lMm9Eb2MueG1s&#10;UEsFBgAAAAAGAAYAWQEAABwFAAAAAA==&#10;">
                      <v:fill on="f" focussize="0,0"/>
                      <v:stroke on="f"/>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xbxContent>
                      </v:textbox>
                    </v:rect>
                  </w:pict>
                </mc:Fallback>
              </mc:AlternateContent>
            </w:r>
            <w:r>
              <w:rPr>
                <w:rFonts w:hint="default" w:ascii="Times New Roman" w:hAnsi="Times New Roman" w:eastAsia="宋体" w:cs="Times New Roman"/>
                <w:b/>
                <w:bCs/>
                <w:sz w:val="21"/>
                <w:szCs w:val="21"/>
              </w:rPr>
              <w:t>点位数</w:t>
            </w:r>
          </w:p>
        </w:tc>
        <w:tc>
          <w:tcPr>
            <w:tcW w:w="2203" w:type="dxa"/>
            <w:tcBorders>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监测因子</w:t>
            </w:r>
          </w:p>
        </w:tc>
        <w:tc>
          <w:tcPr>
            <w:tcW w:w="2288" w:type="dxa"/>
            <w:tcBorders>
              <w:left w:val="single" w:color="000000" w:sz="4" w:space="0"/>
              <w:bottom w:val="single" w:color="auto" w:sz="4"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911" w:type="dxa"/>
            <w:vMerge w:val="restart"/>
            <w:tcBorders>
              <w:top w:val="single" w:color="auto"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有组织废气</w:t>
            </w:r>
          </w:p>
        </w:tc>
        <w:tc>
          <w:tcPr>
            <w:tcW w:w="1990" w:type="dxa"/>
            <w:tcBorders>
              <w:top w:val="single" w:color="auto" w:sz="4" w:space="0"/>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废气处理装置出口</w:t>
            </w:r>
          </w:p>
        </w:tc>
        <w:tc>
          <w:tcPr>
            <w:tcW w:w="1084" w:type="dxa"/>
            <w:tcBorders>
              <w:top w:val="single" w:color="000000" w:sz="4" w:space="0"/>
              <w:left w:val="single" w:color="000000" w:sz="4" w:space="0"/>
              <w:bottom w:val="single" w:color="000000" w:sz="4" w:space="0"/>
              <w:right w:val="single" w:color="auto" w:sz="4"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mc:AlternateContent>
                <mc:Choice Requires="wps">
                  <w:drawing>
                    <wp:anchor distT="0" distB="0" distL="114300" distR="114300" simplePos="0" relativeHeight="251788288" behindDoc="0" locked="0" layoutInCell="1" allowOverlap="1">
                      <wp:simplePos x="0" y="0"/>
                      <wp:positionH relativeFrom="column">
                        <wp:posOffset>263525</wp:posOffset>
                      </wp:positionH>
                      <wp:positionV relativeFrom="paragraph">
                        <wp:posOffset>243840</wp:posOffset>
                      </wp:positionV>
                      <wp:extent cx="257175" cy="268605"/>
                      <wp:effectExtent l="0" t="0" r="0" b="0"/>
                      <wp:wrapNone/>
                      <wp:docPr id="6" name="矩形 6"/>
                      <wp:cNvGraphicFramePr/>
                      <a:graphic xmlns:a="http://schemas.openxmlformats.org/drawingml/2006/main">
                        <a:graphicData uri="http://schemas.microsoft.com/office/word/2010/wordprocessingShape">
                          <wps:wsp>
                            <wps:cNvSpPr/>
                            <wps:spPr>
                              <a:xfrm>
                                <a:off x="0" y="0"/>
                                <a:ext cx="257175" cy="268605"/>
                              </a:xfrm>
                              <a:prstGeom prst="rect">
                                <a:avLst/>
                              </a:prstGeom>
                              <a:noFill/>
                              <a:ln>
                                <a:noFill/>
                              </a:ln>
                            </wps:spPr>
                            <wps:txbx>
                              <w:txbxContent>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xbxContent>
                            </wps:txbx>
                            <wps:bodyPr upright="1"/>
                          </wps:wsp>
                        </a:graphicData>
                      </a:graphic>
                    </wp:anchor>
                  </w:drawing>
                </mc:Choice>
                <mc:Fallback>
                  <w:pict>
                    <v:rect id="_x0000_s1026" o:spid="_x0000_s1026" o:spt="1" style="position:absolute;left:0pt;margin-left:20.75pt;margin-top:19.2pt;height:21.15pt;width:20.25pt;z-index:251788288;mso-width-relative:page;mso-height-relative:page;" filled="f" stroked="f" coordsize="21600,21600" o:gfxdata="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ZLN19gAAAAHAQAADwAAAAAAAAABACAAAAAiAAAAZHJzL2Rvd25yZXYueG1sUEsB&#10;AhQAFAAAAAgAh07iQLHdTjyDAQAA8gIAAA4AAAAAAAAAAQAgAAAAJwEAAGRycy9lMm9Eb2MueG1s&#10;UEsFBgAAAAAGAAYAWQEAABwFAAAAAA==&#10;">
                      <v:fill on="f" focussize="0,0"/>
                      <v:stroke on="f"/>
                      <v:imagedata o:title=""/>
                      <o:lock v:ext="edit" aspectratio="f"/>
                      <v:textbox>
                        <w:txbxContent>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xbxContent>
                      </v:textbox>
                    </v:rect>
                  </w:pict>
                </mc:Fallback>
              </mc:AlternateContent>
            </w:r>
            <w:r>
              <w:rPr>
                <w:rFonts w:hint="default" w:ascii="Times New Roman" w:hAnsi="Times New Roman" w:eastAsia="宋体" w:cs="Times New Roman"/>
                <w:sz w:val="21"/>
                <w:szCs w:val="21"/>
              </w:rPr>
              <mc:AlternateContent>
                <mc:Choice Requires="wps">
                  <w:drawing>
                    <wp:anchor distT="0" distB="0" distL="114300" distR="114300" simplePos="0" relativeHeight="251700224" behindDoc="0" locked="0" layoutInCell="1" allowOverlap="1">
                      <wp:simplePos x="0" y="0"/>
                      <wp:positionH relativeFrom="column">
                        <wp:posOffset>120015</wp:posOffset>
                      </wp:positionH>
                      <wp:positionV relativeFrom="paragraph">
                        <wp:posOffset>60325</wp:posOffset>
                      </wp:positionV>
                      <wp:extent cx="133350" cy="133350"/>
                      <wp:effectExtent l="4445" t="4445" r="14605" b="14605"/>
                      <wp:wrapNone/>
                      <wp:docPr id="2" name="任意多边形 2"/>
                      <wp:cNvGraphicFramePr/>
                      <a:graphic xmlns:a="http://schemas.openxmlformats.org/drawingml/2006/main">
                        <a:graphicData uri="http://schemas.microsoft.com/office/word/2010/wordprocessingShape">
                          <wps:wsp>
                            <wps:cNvSpPr/>
                            <wps:spPr>
                              <a:xfrm>
                                <a:off x="0" y="0"/>
                                <a:ext cx="133350" cy="1333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45pt;margin-top:4.75pt;height:10.5pt;width:10.5pt;z-index:251700224;mso-width-relative:page;mso-height-relative:page;" fillcolor="#FFFFFF" filled="t" stroked="t" coordsize="21600,21600" o:gfxdata="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&#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nxcezdMAAAAGAQAADwAAAAAAAAABACAAAAAiAAAA&#10;ZHJzL2Rvd25yZXYueG1sUEsBAhQAFAAAAAgAh07iQAehsBMpAwAA+QgAAA4AAAAAAAAAAQAgAAAA&#10;IgEAAGRycy9lMm9Eb2MueG1sUEsFBgAAAAAGAAYAWQEAAL0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p>
        </w:tc>
        <w:tc>
          <w:tcPr>
            <w:tcW w:w="2203"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2288" w:type="dxa"/>
            <w:tcBorders>
              <w:top w:val="single" w:color="auto" w:sz="4" w:space="0"/>
              <w:left w:val="single" w:color="auto" w:sz="4" w:space="0"/>
              <w:bottom w:val="single" w:color="auto" w:sz="4"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3次/天，共2天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911" w:type="dxa"/>
            <w:vMerge w:val="continue"/>
            <w:tcBorders>
              <w:right w:val="single" w:color="000000" w:sz="4" w:space="0"/>
            </w:tcBorders>
            <w:vAlign w:val="center"/>
          </w:tcPr>
          <w:p>
            <w:pPr>
              <w:bidi w:val="0"/>
              <w:jc w:val="center"/>
              <w:rPr>
                <w:rFonts w:hint="default" w:ascii="Times New Roman" w:hAnsi="Times New Roman" w:eastAsia="宋体" w:cs="Times New Roman"/>
                <w:sz w:val="21"/>
                <w:szCs w:val="21"/>
                <w:lang w:eastAsia="zh-CN"/>
              </w:rPr>
            </w:pPr>
          </w:p>
        </w:tc>
        <w:tc>
          <w:tcPr>
            <w:tcW w:w="1990" w:type="dxa"/>
            <w:tcBorders>
              <w:top w:val="single" w:color="auto" w:sz="4" w:space="0"/>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废气处理装置出口</w:t>
            </w:r>
          </w:p>
        </w:tc>
        <w:tc>
          <w:tcPr>
            <w:tcW w:w="1084" w:type="dxa"/>
            <w:tcBorders>
              <w:top w:val="single" w:color="000000" w:sz="4" w:space="0"/>
              <w:left w:val="single" w:color="000000"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744256" behindDoc="0" locked="0" layoutInCell="1" allowOverlap="1">
                      <wp:simplePos x="0" y="0"/>
                      <wp:positionH relativeFrom="column">
                        <wp:posOffset>120015</wp:posOffset>
                      </wp:positionH>
                      <wp:positionV relativeFrom="paragraph">
                        <wp:posOffset>72390</wp:posOffset>
                      </wp:positionV>
                      <wp:extent cx="133350" cy="133350"/>
                      <wp:effectExtent l="4445" t="4445" r="14605" b="14605"/>
                      <wp:wrapNone/>
                      <wp:docPr id="3" name="任意多边形 3"/>
                      <wp:cNvGraphicFramePr/>
                      <a:graphic xmlns:a="http://schemas.openxmlformats.org/drawingml/2006/main">
                        <a:graphicData uri="http://schemas.microsoft.com/office/word/2010/wordprocessingShape">
                          <wps:wsp>
                            <wps:cNvSpPr/>
                            <wps:spPr>
                              <a:xfrm>
                                <a:off x="0" y="0"/>
                                <a:ext cx="133350" cy="1333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45pt;margin-top:5.7pt;height:10.5pt;width:10.5pt;z-index:251744256;mso-width-relative:page;mso-height-relative:page;" fillcolor="#FFFFFF" filled="t" stroked="t" coordsize="21600,21600" o:gfxdata="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iD0OmdMAAAAHAQAADwAAAAAAAAABACAAAAAiAAAA&#10;ZHJzL2Rvd25yZXYueG1sUEsBAhQAFAAAAAgAh07iQNBLEZwpAwAA+QgAAA4AAAAAAAAAAQAgAAAA&#10;IgEAAGRycy9lMm9Eb2MueG1sUEsFBgAAAAAGAAYAWQEAAL0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p>
        </w:tc>
        <w:tc>
          <w:tcPr>
            <w:tcW w:w="2203"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2288" w:type="dxa"/>
            <w:tcBorders>
              <w:top w:val="single" w:color="auto" w:sz="4" w:space="0"/>
              <w:left w:val="single" w:color="auto" w:sz="4" w:space="0"/>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3次/天，共2天</w:t>
            </w:r>
          </w:p>
        </w:tc>
      </w:tr>
    </w:tbl>
    <w:p>
      <w:pPr>
        <w:bidi w:val="0"/>
        <w:jc w:val="center"/>
        <w:rPr>
          <w:rFonts w:hint="eastAsia"/>
          <w:lang w:val="en-US" w:eastAsia="zh-CN"/>
        </w:rPr>
      </w:pPr>
      <w:r>
        <w:rPr>
          <w:rFonts w:hint="eastAsia"/>
          <w:lang w:val="en-US" w:eastAsia="zh-CN"/>
        </w:rPr>
        <w:object>
          <v:shape id="_x0000_i1032" o:spt="75" type="#_x0000_t75" style="height:502.2pt;width:352.85pt;" o:ole="t" filled="f" o:preferrelative="t" stroked="t" coordsize="21600,21600">
            <v:path/>
            <v:fill on="f" focussize="0,0"/>
            <v:stroke weight="1pt" color="#000000"/>
            <v:imagedata r:id="rId37" o:title=""/>
            <o:lock v:ext="edit" aspectratio="f"/>
            <w10:wrap type="none"/>
            <w10:anchorlock/>
          </v:shape>
          <o:OLEObject Type="Embed" ProgID="Visio.Drawing.11" ShapeID="_x0000_i1032" DrawAspect="Content" ObjectID="_1468075732" r:id="rId36">
            <o:LockedField>false</o:LockedField>
          </o:OLEObject>
        </w:object>
      </w:r>
    </w:p>
    <w:p>
      <w:pPr>
        <w:pStyle w:val="13"/>
        <w:bidi w:val="0"/>
        <w:rPr>
          <w:rFonts w:hint="eastAsia"/>
          <w:lang w:val="en-US" w:eastAsia="zh-CN"/>
        </w:rPr>
      </w:pPr>
      <w:r>
        <w:rPr>
          <w:rFonts w:hint="eastAsia"/>
          <w:lang w:val="en-US" w:eastAsia="zh-CN"/>
        </w:rPr>
        <w:t>图7.1-2     有组织废气监测点位示意图</w:t>
      </w:r>
    </w:p>
    <w:p>
      <w:pPr>
        <w:pStyle w:val="9"/>
        <w:bidi w:val="0"/>
        <w:rPr>
          <w:rFonts w:hint="eastAsia"/>
          <w:lang w:val="en-US" w:eastAsia="zh-CN"/>
        </w:rPr>
      </w:pPr>
      <w:r>
        <w:rPr>
          <w:rFonts w:hint="eastAsia"/>
          <w:lang w:val="en-US" w:eastAsia="zh-CN"/>
        </w:rPr>
        <w:t>本项目无组织废气监测布点详见图7.1-3：无组织废气监测点位示意图。</w:t>
      </w:r>
    </w:p>
    <w:p>
      <w:pPr>
        <w:pStyle w:val="9"/>
        <w:bidi w:val="0"/>
        <w:rPr>
          <w:rFonts w:hint="eastAsia"/>
          <w:lang w:val="en-US" w:eastAsia="zh-CN"/>
        </w:rPr>
      </w:pPr>
      <w:r>
        <w:rPr>
          <w:rFonts w:hint="eastAsia"/>
          <w:lang w:val="en-US" w:eastAsia="zh-CN"/>
        </w:rPr>
        <w:t>无组织废气监测因子及监测频次见表7.1-3。</w:t>
      </w:r>
    </w:p>
    <w:p>
      <w:pPr>
        <w:pStyle w:val="13"/>
        <w:bidi w:val="0"/>
        <w:rPr>
          <w:rFonts w:hint="eastAsia"/>
          <w:lang w:val="en-US" w:eastAsia="zh-CN"/>
        </w:rPr>
      </w:pPr>
      <w:r>
        <w:rPr>
          <w:rFonts w:hint="eastAsia"/>
          <w:lang w:val="en-US" w:eastAsia="zh-CN"/>
        </w:rPr>
        <w:t>表7.1-3    无组织废气排放源的监测因子及监测频次一览表</w:t>
      </w:r>
    </w:p>
    <w:tbl>
      <w:tblPr>
        <w:tblStyle w:val="10"/>
        <w:tblW w:w="8476"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
      <w:tblGrid>
        <w:gridCol w:w="1209"/>
        <w:gridCol w:w="1965"/>
        <w:gridCol w:w="1350"/>
        <w:gridCol w:w="1950"/>
        <w:gridCol w:w="200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1209" w:type="dxa"/>
            <w:tcBorders>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类别</w:t>
            </w:r>
          </w:p>
        </w:tc>
        <w:tc>
          <w:tcPr>
            <w:tcW w:w="1965" w:type="dxa"/>
            <w:tcBorders>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监测位置</w:t>
            </w:r>
          </w:p>
        </w:tc>
        <w:tc>
          <w:tcPr>
            <w:tcW w:w="1350" w:type="dxa"/>
            <w:tcBorders>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点位数</w:t>
            </w:r>
          </w:p>
        </w:tc>
        <w:tc>
          <w:tcPr>
            <w:tcW w:w="1950" w:type="dxa"/>
            <w:tcBorders>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监测因子</w:t>
            </w:r>
          </w:p>
        </w:tc>
        <w:tc>
          <w:tcPr>
            <w:tcW w:w="2002" w:type="dxa"/>
            <w:tcBorders>
              <w:left w:val="single" w:color="000000" w:sz="4" w:space="0"/>
              <w:bottom w:val="single" w:color="auto" w:sz="4" w:space="0"/>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1209" w:type="dxa"/>
            <w:vMerge w:val="restart"/>
            <w:tcBorders>
              <w:top w:val="single" w:color="auto"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无组织</w:t>
            </w:r>
          </w:p>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废气</w:t>
            </w:r>
          </w:p>
        </w:tc>
        <w:tc>
          <w:tcPr>
            <w:tcW w:w="1965" w:type="dxa"/>
            <w:tcBorders>
              <w:top w:val="single" w:color="auto" w:sz="4" w:space="0"/>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厂区上风向</w:t>
            </w:r>
          </w:p>
        </w:tc>
        <w:tc>
          <w:tcPr>
            <w:tcW w:w="1350" w:type="dxa"/>
            <w:tcBorders>
              <w:top w:val="single" w:color="000000" w:sz="4" w:space="0"/>
              <w:left w:val="single" w:color="000000"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G</w:t>
            </w:r>
            <w:r>
              <w:rPr>
                <w:rFonts w:hint="default" w:ascii="Times New Roman" w:hAnsi="Times New Roman" w:eastAsia="宋体" w:cs="Times New Roman"/>
                <w:sz w:val="21"/>
                <w:szCs w:val="21"/>
                <w:lang w:val="en-US" w:eastAsia="zh-CN"/>
              </w:rPr>
              <w:t>1</w:t>
            </w:r>
          </w:p>
        </w:tc>
        <w:tc>
          <w:tcPr>
            <w:tcW w:w="1950" w:type="dxa"/>
            <w:vMerge w:val="restar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颗粒物</w:t>
            </w:r>
          </w:p>
        </w:tc>
        <w:tc>
          <w:tcPr>
            <w:tcW w:w="2002" w:type="dxa"/>
            <w:vMerge w:val="restart"/>
            <w:tcBorders>
              <w:top w:val="single" w:color="auto" w:sz="4" w:space="0"/>
              <w:left w:val="single" w:color="auto" w:sz="4" w:space="0"/>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rPr>
              <w:t>次/天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共</w:t>
            </w:r>
            <w:r>
              <w:rPr>
                <w:rFonts w:hint="default" w:ascii="Times New Roman" w:hAnsi="Times New Roman" w:eastAsia="宋体" w:cs="Times New Roman"/>
                <w:sz w:val="21"/>
                <w:szCs w:val="21"/>
                <w:lang w:eastAsia="zh-CN"/>
              </w:rPr>
              <w:t>2</w:t>
            </w:r>
            <w:r>
              <w:rPr>
                <w:rFonts w:hint="default" w:ascii="Times New Roman" w:hAnsi="Times New Roman" w:eastAsia="宋体" w:cs="Times New Roman"/>
                <w:sz w:val="21"/>
                <w:szCs w:val="21"/>
              </w:rPr>
              <w:t>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1209" w:type="dxa"/>
            <w:vMerge w:val="continue"/>
            <w:tcBorders>
              <w:right w:val="single" w:color="000000" w:sz="4" w:space="0"/>
            </w:tcBorders>
            <w:vAlign w:val="center"/>
          </w:tcPr>
          <w:p>
            <w:pPr>
              <w:bidi w:val="0"/>
              <w:jc w:val="center"/>
              <w:rPr>
                <w:rFonts w:hint="default" w:ascii="Times New Roman" w:hAnsi="Times New Roman" w:eastAsia="宋体" w:cs="Times New Roman"/>
                <w:sz w:val="21"/>
                <w:szCs w:val="21"/>
                <w:lang w:eastAsia="zh-CN"/>
              </w:rPr>
            </w:pPr>
          </w:p>
        </w:tc>
        <w:tc>
          <w:tcPr>
            <w:tcW w:w="1965" w:type="dxa"/>
            <w:vMerge w:val="restart"/>
            <w:tcBorders>
              <w:top w:val="single" w:color="auto" w:sz="4" w:space="0"/>
              <w:left w:val="single" w:color="000000"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厂区下风向</w:t>
            </w:r>
          </w:p>
        </w:tc>
        <w:tc>
          <w:tcPr>
            <w:tcW w:w="1350" w:type="dxa"/>
            <w:tcBorders>
              <w:top w:val="single" w:color="auto" w:sz="4" w:space="0"/>
              <w:left w:val="single" w:color="000000"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G</w:t>
            </w:r>
            <w:r>
              <w:rPr>
                <w:rFonts w:hint="default" w:ascii="Times New Roman" w:hAnsi="Times New Roman" w:eastAsia="宋体" w:cs="Times New Roman"/>
                <w:sz w:val="21"/>
                <w:szCs w:val="21"/>
                <w:lang w:val="en-US" w:eastAsia="zh-CN"/>
              </w:rPr>
              <w:t>2</w:t>
            </w:r>
          </w:p>
        </w:tc>
        <w:tc>
          <w:tcPr>
            <w:tcW w:w="1950" w:type="dxa"/>
            <w:vMerge w:val="continue"/>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eastAsia="zh-CN"/>
              </w:rPr>
            </w:pPr>
          </w:p>
        </w:tc>
        <w:tc>
          <w:tcPr>
            <w:tcW w:w="2002" w:type="dxa"/>
            <w:vMerge w:val="continue"/>
            <w:tcBorders>
              <w:left w:val="single" w:color="auto" w:sz="4" w:space="0"/>
            </w:tcBorders>
            <w:vAlign w:val="center"/>
          </w:tcPr>
          <w:p>
            <w:pPr>
              <w:bidi w:val="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1209" w:type="dxa"/>
            <w:vMerge w:val="continue"/>
            <w:tcBorders>
              <w:right w:val="single" w:color="000000" w:sz="4" w:space="0"/>
            </w:tcBorders>
            <w:vAlign w:val="center"/>
          </w:tcPr>
          <w:p>
            <w:pPr>
              <w:bidi w:val="0"/>
              <w:jc w:val="center"/>
              <w:rPr>
                <w:rFonts w:hint="default" w:ascii="Times New Roman" w:hAnsi="Times New Roman" w:eastAsia="宋体" w:cs="Times New Roman"/>
                <w:sz w:val="21"/>
                <w:szCs w:val="21"/>
                <w:lang w:eastAsia="zh-CN"/>
              </w:rPr>
            </w:pPr>
          </w:p>
        </w:tc>
        <w:tc>
          <w:tcPr>
            <w:tcW w:w="1965" w:type="dxa"/>
            <w:vMerge w:val="continue"/>
            <w:tcBorders>
              <w:left w:val="single" w:color="000000" w:sz="4" w:space="0"/>
              <w:right w:val="single" w:color="000000" w:sz="4" w:space="0"/>
            </w:tcBorders>
            <w:vAlign w:val="center"/>
          </w:tcPr>
          <w:p>
            <w:pPr>
              <w:bidi w:val="0"/>
              <w:jc w:val="center"/>
              <w:rPr>
                <w:rFonts w:hint="default" w:ascii="Times New Roman" w:hAnsi="Times New Roman" w:eastAsia="宋体" w:cs="Times New Roman"/>
                <w:sz w:val="21"/>
                <w:szCs w:val="21"/>
                <w:lang w:eastAsia="zh-CN"/>
              </w:rPr>
            </w:pPr>
          </w:p>
        </w:tc>
        <w:tc>
          <w:tcPr>
            <w:tcW w:w="1350" w:type="dxa"/>
            <w:tcBorders>
              <w:top w:val="single" w:color="auto" w:sz="4" w:space="0"/>
              <w:left w:val="single" w:color="000000"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w:t>
            </w:r>
            <w:r>
              <w:rPr>
                <w:rFonts w:hint="default" w:ascii="Times New Roman" w:hAnsi="Times New Roman" w:eastAsia="宋体" w:cs="Times New Roman"/>
                <w:sz w:val="21"/>
                <w:szCs w:val="21"/>
                <w:lang w:val="en-US" w:eastAsia="zh-CN"/>
              </w:rPr>
              <w:t>3</w:t>
            </w:r>
          </w:p>
        </w:tc>
        <w:tc>
          <w:tcPr>
            <w:tcW w:w="1950" w:type="dxa"/>
            <w:vMerge w:val="continue"/>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val="en-US" w:eastAsia="zh-CN"/>
              </w:rPr>
            </w:pPr>
          </w:p>
        </w:tc>
        <w:tc>
          <w:tcPr>
            <w:tcW w:w="2002" w:type="dxa"/>
            <w:vMerge w:val="continue"/>
            <w:tcBorders>
              <w:left w:val="single" w:color="auto" w:sz="4" w:space="0"/>
            </w:tcBorders>
            <w:vAlign w:val="center"/>
          </w:tcPr>
          <w:p>
            <w:pPr>
              <w:bidi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85" w:type="dxa"/>
            <w:bottom w:w="0" w:type="dxa"/>
            <w:right w:w="85" w:type="dxa"/>
          </w:tblCellMar>
        </w:tblPrEx>
        <w:trPr>
          <w:trHeight w:val="397" w:hRule="atLeast"/>
          <w:jc w:val="center"/>
        </w:trPr>
        <w:tc>
          <w:tcPr>
            <w:tcW w:w="1209" w:type="dxa"/>
            <w:vMerge w:val="continue"/>
            <w:tcBorders>
              <w:right w:val="single" w:color="000000" w:sz="4" w:space="0"/>
            </w:tcBorders>
            <w:vAlign w:val="center"/>
          </w:tcPr>
          <w:p>
            <w:pPr>
              <w:bidi w:val="0"/>
              <w:jc w:val="center"/>
              <w:rPr>
                <w:rFonts w:hint="default" w:ascii="Times New Roman" w:hAnsi="Times New Roman" w:eastAsia="宋体" w:cs="Times New Roman"/>
                <w:sz w:val="21"/>
                <w:szCs w:val="21"/>
                <w:lang w:val="en-US" w:eastAsia="zh-CN"/>
              </w:rPr>
            </w:pPr>
          </w:p>
        </w:tc>
        <w:tc>
          <w:tcPr>
            <w:tcW w:w="1965" w:type="dxa"/>
            <w:vMerge w:val="continue"/>
            <w:tcBorders>
              <w:left w:val="single" w:color="000000" w:sz="4" w:space="0"/>
              <w:bottom w:val="single" w:color="auto" w:sz="4" w:space="0"/>
              <w:right w:val="single" w:color="000000" w:sz="4" w:space="0"/>
            </w:tcBorders>
            <w:vAlign w:val="center"/>
          </w:tcPr>
          <w:p>
            <w:pPr>
              <w:bidi w:val="0"/>
              <w:jc w:val="center"/>
              <w:rPr>
                <w:rFonts w:hint="default" w:ascii="Times New Roman" w:hAnsi="Times New Roman" w:eastAsia="宋体" w:cs="Times New Roman"/>
                <w:sz w:val="21"/>
                <w:szCs w:val="21"/>
                <w:lang w:val="en-US" w:eastAsia="zh-CN"/>
              </w:rPr>
            </w:pPr>
          </w:p>
        </w:tc>
        <w:tc>
          <w:tcPr>
            <w:tcW w:w="1350" w:type="dxa"/>
            <w:tcBorders>
              <w:top w:val="single" w:color="auto" w:sz="4" w:space="0"/>
              <w:left w:val="single" w:color="000000"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w:t>
            </w:r>
            <w:r>
              <w:rPr>
                <w:rFonts w:hint="default" w:ascii="Times New Roman" w:hAnsi="Times New Roman" w:eastAsia="宋体" w:cs="Times New Roman"/>
                <w:sz w:val="21"/>
                <w:szCs w:val="21"/>
                <w:lang w:val="en-US" w:eastAsia="zh-CN"/>
              </w:rPr>
              <w:t>4</w:t>
            </w:r>
          </w:p>
        </w:tc>
        <w:tc>
          <w:tcPr>
            <w:tcW w:w="1950" w:type="dxa"/>
            <w:vMerge w:val="continue"/>
            <w:tcBorders>
              <w:left w:val="single" w:color="auto" w:sz="4" w:space="0"/>
              <w:bottom w:val="single" w:color="auto" w:sz="4" w:space="0"/>
              <w:right w:val="single" w:color="auto" w:sz="4" w:space="0"/>
            </w:tcBorders>
            <w:vAlign w:val="center"/>
          </w:tcPr>
          <w:p>
            <w:pPr>
              <w:bidi w:val="0"/>
              <w:jc w:val="center"/>
              <w:rPr>
                <w:rFonts w:hint="default" w:ascii="Times New Roman" w:hAnsi="Times New Roman" w:eastAsia="宋体" w:cs="Times New Roman"/>
                <w:sz w:val="21"/>
                <w:szCs w:val="21"/>
                <w:lang w:val="en-US" w:eastAsia="zh-CN"/>
              </w:rPr>
            </w:pPr>
          </w:p>
        </w:tc>
        <w:tc>
          <w:tcPr>
            <w:tcW w:w="2002" w:type="dxa"/>
            <w:vMerge w:val="continue"/>
            <w:tcBorders>
              <w:left w:val="single" w:color="auto" w:sz="4" w:space="0"/>
            </w:tcBorders>
            <w:vAlign w:val="center"/>
          </w:tcPr>
          <w:p>
            <w:pPr>
              <w:bidi w:val="0"/>
              <w:jc w:val="center"/>
              <w:rPr>
                <w:rFonts w:hint="default" w:ascii="Times New Roman" w:hAnsi="Times New Roman" w:eastAsia="宋体" w:cs="Times New Roman"/>
                <w:sz w:val="21"/>
                <w:szCs w:val="21"/>
                <w:lang w:val="en-US" w:eastAsia="zh-CN"/>
              </w:rPr>
            </w:pPr>
          </w:p>
        </w:tc>
      </w:tr>
    </w:tbl>
    <w:p>
      <w:pPr>
        <w:bidi w:val="0"/>
        <w:jc w:val="center"/>
        <w:rPr>
          <w:rFonts w:hint="eastAsia"/>
          <w:lang w:val="en-US" w:eastAsia="zh-CN"/>
        </w:rPr>
      </w:pPr>
    </w:p>
    <w:p>
      <w:pPr>
        <w:bidi w:val="0"/>
        <w:jc w:val="center"/>
        <w:rPr>
          <w:rFonts w:hint="eastAsia"/>
          <w:lang w:val="en-US" w:eastAsia="zh-CN"/>
        </w:rPr>
      </w:pPr>
      <w:r>
        <w:rPr>
          <w:rFonts w:hint="eastAsia"/>
          <w:lang w:val="en-US" w:eastAsia="zh-CN"/>
        </w:rPr>
        <w:object>
          <v:shape id="_x0000_i1033" o:spt="75" alt="" type="#_x0000_t75" style="height:415.3pt;width:353.9pt;" o:ole="t" filled="f" o:preferrelative="t" stroked="t" coordsize="21600,21600">
            <v:path/>
            <v:fill on="f" focussize="0,0"/>
            <v:stroke weight="1pt" color="#000000" joinstyle="miter"/>
            <v:imagedata r:id="rId39" o:title=""/>
            <o:lock v:ext="edit" aspectratio="f"/>
            <w10:wrap type="none"/>
            <w10:anchorlock/>
          </v:shape>
          <o:OLEObject Type="Embed" ProgID="Visio.Drawing.11" ShapeID="_x0000_i1033" DrawAspect="Content" ObjectID="_1468075733" r:id="rId38">
            <o:LockedField>false</o:LockedField>
          </o:OLEObject>
        </w:object>
      </w:r>
    </w:p>
    <w:p>
      <w:pPr>
        <w:pStyle w:val="13"/>
        <w:bidi w:val="0"/>
        <w:rPr>
          <w:rFonts w:hint="eastAsia"/>
          <w:lang w:val="en-US" w:eastAsia="zh-CN"/>
        </w:rPr>
      </w:pPr>
      <w:r>
        <w:rPr>
          <w:rFonts w:hint="eastAsia"/>
          <w:lang w:val="en-US" w:eastAsia="zh-CN"/>
        </w:rPr>
        <w:t>图7.1-3    无组织废气监测点位示意图</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注：201</w:t>
      </w:r>
      <w:r>
        <w:rPr>
          <w:rFonts w:hint="eastAsia" w:ascii="Times New Roman" w:hAnsi="Times New Roman" w:cs="Times New Roman"/>
          <w:b/>
          <w:bCs/>
          <w:lang w:val="en-US" w:eastAsia="zh-CN"/>
        </w:rPr>
        <w:t>8</w:t>
      </w:r>
      <w:r>
        <w:rPr>
          <w:rFonts w:hint="default" w:ascii="Times New Roman" w:hAnsi="Times New Roman" w:cs="Times New Roman"/>
          <w:b/>
          <w:bCs/>
          <w:lang w:val="en-US" w:eastAsia="zh-CN"/>
        </w:rPr>
        <w:t>年11月26日~27日无组织废气监测时风向相同</w:t>
      </w:r>
    </w:p>
    <w:p>
      <w:pPr>
        <w:rPr>
          <w:rFonts w:hint="default" w:ascii="Times New Roman" w:hAnsi="Times New Roman" w:cs="Times New Roman"/>
          <w:b/>
          <w:bCs/>
          <w:lang w:val="en-US" w:eastAsia="zh-CN"/>
        </w:rPr>
      </w:pPr>
    </w:p>
    <w:p>
      <w:pPr>
        <w:rPr>
          <w:rFonts w:hint="default" w:ascii="Times New Roman" w:hAnsi="Times New Roman" w:cs="Times New Roman"/>
          <w:b/>
          <w:bCs/>
          <w:lang w:val="en-US" w:eastAsia="zh-CN"/>
        </w:rPr>
      </w:pPr>
    </w:p>
    <w:p>
      <w:pPr>
        <w:rPr>
          <w:rFonts w:hint="default" w:ascii="Times New Roman" w:hAnsi="Times New Roman" w:cs="Times New Roman"/>
          <w:b/>
          <w:bCs/>
          <w:lang w:val="en-US" w:eastAsia="zh-CN"/>
        </w:rPr>
      </w:pPr>
    </w:p>
    <w:p>
      <w:pPr>
        <w:rPr>
          <w:rFonts w:hint="default" w:ascii="Times New Roman" w:hAnsi="Times New Roman" w:cs="Times New Roman"/>
          <w:b/>
          <w:bCs/>
          <w:lang w:val="en-US" w:eastAsia="zh-CN"/>
        </w:rPr>
      </w:pPr>
    </w:p>
    <w:p>
      <w:pPr>
        <w:pStyle w:val="17"/>
        <w:bidi w:val="0"/>
        <w:rPr>
          <w:rFonts w:hint="eastAsia"/>
          <w:lang w:val="en-US" w:eastAsia="zh-CN"/>
        </w:rPr>
      </w:pPr>
      <w:r>
        <w:rPr>
          <w:rFonts w:hint="eastAsia"/>
          <w:lang w:val="en-US" w:eastAsia="zh-CN"/>
        </w:rPr>
        <w:t>7.1.3 厂界噪声监测</w:t>
      </w:r>
    </w:p>
    <w:p>
      <w:pPr>
        <w:pStyle w:val="9"/>
        <w:bidi w:val="0"/>
        <w:rPr>
          <w:rFonts w:hint="eastAsia"/>
          <w:lang w:val="en-US" w:eastAsia="zh-CN"/>
        </w:rPr>
      </w:pPr>
      <w:r>
        <w:rPr>
          <w:rFonts w:hint="eastAsia"/>
          <w:lang w:val="en-US" w:eastAsia="zh-CN"/>
        </w:rPr>
        <w:t>本项目厂界噪声监测布点详见图7.1-4：噪声监测点位示意图。</w:t>
      </w:r>
    </w:p>
    <w:p>
      <w:pPr>
        <w:pStyle w:val="9"/>
        <w:bidi w:val="0"/>
        <w:rPr>
          <w:rFonts w:hint="eastAsia"/>
          <w:lang w:val="en-US" w:eastAsia="zh-CN"/>
        </w:rPr>
      </w:pPr>
      <w:r>
        <w:rPr>
          <w:rFonts w:hint="eastAsia"/>
          <w:lang w:val="en-US" w:eastAsia="zh-CN"/>
        </w:rPr>
        <w:t>噪声的监测因子及监测频次见表7.1-4。</w:t>
      </w:r>
    </w:p>
    <w:p>
      <w:pPr>
        <w:pStyle w:val="13"/>
        <w:bidi w:val="0"/>
        <w:rPr>
          <w:rFonts w:hint="eastAsia"/>
          <w:lang w:val="en-US" w:eastAsia="zh-CN"/>
        </w:rPr>
      </w:pPr>
      <w:r>
        <w:rPr>
          <w:rFonts w:hint="eastAsia"/>
          <w:lang w:val="en-US" w:eastAsia="zh-CN"/>
        </w:rPr>
        <w:t>表7.1-4    厂界噪声的监测因子及监测频次一览表</w:t>
      </w:r>
    </w:p>
    <w:tbl>
      <w:tblPr>
        <w:tblStyle w:val="10"/>
        <w:tblW w:w="84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889"/>
        <w:gridCol w:w="1942"/>
        <w:gridCol w:w="1160"/>
        <w:gridCol w:w="2166"/>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397" w:hRule="atLeast"/>
          <w:jc w:val="center"/>
        </w:trPr>
        <w:tc>
          <w:tcPr>
            <w:tcW w:w="889"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类别</w:t>
            </w:r>
          </w:p>
        </w:tc>
        <w:tc>
          <w:tcPr>
            <w:tcW w:w="1942"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监测位置</w:t>
            </w:r>
          </w:p>
        </w:tc>
        <w:tc>
          <w:tcPr>
            <w:tcW w:w="1160"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点位</w:t>
            </w:r>
          </w:p>
        </w:tc>
        <w:tc>
          <w:tcPr>
            <w:tcW w:w="2166"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监测因子</w:t>
            </w:r>
          </w:p>
        </w:tc>
        <w:tc>
          <w:tcPr>
            <w:tcW w:w="2319"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397" w:hRule="atLeast"/>
          <w:jc w:val="center"/>
        </w:trPr>
        <w:tc>
          <w:tcPr>
            <w:tcW w:w="889"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194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厂界东</w:t>
            </w:r>
          </w:p>
        </w:tc>
        <w:tc>
          <w:tcPr>
            <w:tcW w:w="116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▲N1</w:t>
            </w:r>
          </w:p>
        </w:tc>
        <w:tc>
          <w:tcPr>
            <w:tcW w:w="2166"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现状噪声</w:t>
            </w:r>
          </w:p>
        </w:tc>
        <w:tc>
          <w:tcPr>
            <w:tcW w:w="2319"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r>
              <w:rPr>
                <w:rFonts w:hint="eastAsia" w:ascii="Times New Roman" w:hAnsi="Times New Roman" w:eastAsia="宋体" w:cs="Times New Roman"/>
                <w:sz w:val="21"/>
                <w:szCs w:val="21"/>
                <w:lang w:val="en-US" w:eastAsia="zh-CN"/>
              </w:rPr>
              <w:t>、夜</w:t>
            </w:r>
            <w:r>
              <w:rPr>
                <w:rFonts w:hint="default" w:ascii="Times New Roman" w:hAnsi="Times New Roman" w:eastAsia="宋体" w:cs="Times New Roman"/>
                <w:sz w:val="21"/>
                <w:szCs w:val="21"/>
                <w:lang w:val="en-US" w:eastAsia="zh-CN"/>
              </w:rPr>
              <w:t>间</w:t>
            </w:r>
            <w:r>
              <w:rPr>
                <w:rFonts w:hint="eastAsia" w:ascii="Times New Roman" w:hAnsi="Times New Roman" w:eastAsia="宋体" w:cs="Times New Roman"/>
                <w:sz w:val="21"/>
                <w:szCs w:val="21"/>
                <w:lang w:val="en-US" w:eastAsia="zh-CN"/>
              </w:rPr>
              <w:t>各</w:t>
            </w:r>
            <w:r>
              <w:rPr>
                <w:rFonts w:hint="default" w:ascii="Times New Roman" w:hAnsi="Times New Roman" w:eastAsia="宋体" w:cs="Times New Roman"/>
                <w:sz w:val="21"/>
                <w:szCs w:val="21"/>
                <w:lang w:val="en-US" w:eastAsia="zh-CN"/>
              </w:rPr>
              <w:t>1次，</w:t>
            </w:r>
          </w:p>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共2天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397" w:hRule="atLeast"/>
          <w:jc w:val="center"/>
        </w:trPr>
        <w:tc>
          <w:tcPr>
            <w:tcW w:w="889" w:type="dxa"/>
            <w:vMerge w:val="continue"/>
            <w:vAlign w:val="center"/>
          </w:tcPr>
          <w:p>
            <w:pPr>
              <w:bidi w:val="0"/>
              <w:jc w:val="center"/>
              <w:rPr>
                <w:rFonts w:hint="default" w:ascii="Times New Roman" w:hAnsi="Times New Roman" w:eastAsia="宋体" w:cs="Times New Roman"/>
                <w:sz w:val="21"/>
                <w:szCs w:val="21"/>
                <w:lang w:val="en-US" w:eastAsia="zh-CN"/>
              </w:rPr>
            </w:pPr>
          </w:p>
        </w:tc>
        <w:tc>
          <w:tcPr>
            <w:tcW w:w="194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厂界南</w:t>
            </w:r>
          </w:p>
        </w:tc>
        <w:tc>
          <w:tcPr>
            <w:tcW w:w="116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▲N2</w:t>
            </w:r>
          </w:p>
        </w:tc>
        <w:tc>
          <w:tcPr>
            <w:tcW w:w="2166" w:type="dxa"/>
            <w:vMerge w:val="continue"/>
            <w:vAlign w:val="center"/>
          </w:tcPr>
          <w:p>
            <w:pPr>
              <w:bidi w:val="0"/>
              <w:jc w:val="center"/>
              <w:rPr>
                <w:rFonts w:hint="default" w:ascii="Times New Roman" w:hAnsi="Times New Roman" w:eastAsia="宋体" w:cs="Times New Roman"/>
                <w:sz w:val="21"/>
                <w:szCs w:val="21"/>
              </w:rPr>
            </w:pPr>
          </w:p>
        </w:tc>
        <w:tc>
          <w:tcPr>
            <w:tcW w:w="2319" w:type="dxa"/>
            <w:vMerge w:val="continue"/>
            <w:vAlign w:val="center"/>
          </w:tcPr>
          <w:p>
            <w:pPr>
              <w:bidi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397" w:hRule="atLeast"/>
          <w:jc w:val="center"/>
        </w:trPr>
        <w:tc>
          <w:tcPr>
            <w:tcW w:w="889" w:type="dxa"/>
            <w:vMerge w:val="continue"/>
            <w:vAlign w:val="center"/>
          </w:tcPr>
          <w:p>
            <w:pPr>
              <w:bidi w:val="0"/>
              <w:jc w:val="center"/>
              <w:rPr>
                <w:rFonts w:hint="default" w:ascii="Times New Roman" w:hAnsi="Times New Roman" w:eastAsia="宋体" w:cs="Times New Roman"/>
                <w:sz w:val="21"/>
                <w:szCs w:val="21"/>
                <w:lang w:val="en-US" w:eastAsia="zh-CN"/>
              </w:rPr>
            </w:pPr>
          </w:p>
        </w:tc>
        <w:tc>
          <w:tcPr>
            <w:tcW w:w="194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厂界西</w:t>
            </w:r>
          </w:p>
        </w:tc>
        <w:tc>
          <w:tcPr>
            <w:tcW w:w="116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▲N3</w:t>
            </w:r>
          </w:p>
        </w:tc>
        <w:tc>
          <w:tcPr>
            <w:tcW w:w="2166" w:type="dxa"/>
            <w:vMerge w:val="continue"/>
            <w:vAlign w:val="center"/>
          </w:tcPr>
          <w:p>
            <w:pPr>
              <w:bidi w:val="0"/>
              <w:jc w:val="center"/>
              <w:rPr>
                <w:rFonts w:hint="default" w:ascii="Times New Roman" w:hAnsi="Times New Roman" w:eastAsia="宋体" w:cs="Times New Roman"/>
                <w:sz w:val="21"/>
                <w:szCs w:val="21"/>
              </w:rPr>
            </w:pPr>
          </w:p>
        </w:tc>
        <w:tc>
          <w:tcPr>
            <w:tcW w:w="2319" w:type="dxa"/>
            <w:vMerge w:val="continue"/>
            <w:vAlign w:val="center"/>
          </w:tcPr>
          <w:p>
            <w:pPr>
              <w:bidi w:val="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397" w:hRule="atLeast"/>
          <w:jc w:val="center"/>
        </w:trPr>
        <w:tc>
          <w:tcPr>
            <w:tcW w:w="889" w:type="dxa"/>
            <w:vMerge w:val="continue"/>
            <w:vAlign w:val="center"/>
          </w:tcPr>
          <w:p>
            <w:pPr>
              <w:bidi w:val="0"/>
              <w:jc w:val="center"/>
              <w:rPr>
                <w:rFonts w:hint="default" w:ascii="Times New Roman" w:hAnsi="Times New Roman" w:eastAsia="宋体" w:cs="Times New Roman"/>
                <w:sz w:val="21"/>
                <w:szCs w:val="21"/>
                <w:lang w:val="en-US" w:eastAsia="zh-CN"/>
              </w:rPr>
            </w:pPr>
          </w:p>
        </w:tc>
        <w:tc>
          <w:tcPr>
            <w:tcW w:w="194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厂界北</w:t>
            </w:r>
          </w:p>
        </w:tc>
        <w:tc>
          <w:tcPr>
            <w:tcW w:w="116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▲N4</w:t>
            </w:r>
          </w:p>
        </w:tc>
        <w:tc>
          <w:tcPr>
            <w:tcW w:w="2166" w:type="dxa"/>
            <w:vMerge w:val="continue"/>
            <w:vAlign w:val="center"/>
          </w:tcPr>
          <w:p>
            <w:pPr>
              <w:bidi w:val="0"/>
              <w:jc w:val="center"/>
              <w:rPr>
                <w:rFonts w:hint="default" w:ascii="Times New Roman" w:hAnsi="Times New Roman" w:eastAsia="宋体" w:cs="Times New Roman"/>
                <w:sz w:val="21"/>
                <w:szCs w:val="21"/>
                <w:lang w:eastAsia="zh-CN"/>
              </w:rPr>
            </w:pPr>
          </w:p>
        </w:tc>
        <w:tc>
          <w:tcPr>
            <w:tcW w:w="2319" w:type="dxa"/>
            <w:vMerge w:val="continue"/>
            <w:vAlign w:val="center"/>
          </w:tcPr>
          <w:p>
            <w:pPr>
              <w:bidi w:val="0"/>
              <w:jc w:val="center"/>
              <w:rPr>
                <w:rFonts w:hint="default" w:ascii="Times New Roman" w:hAnsi="Times New Roman" w:eastAsia="宋体" w:cs="Times New Roman"/>
                <w:sz w:val="21"/>
                <w:szCs w:val="21"/>
              </w:rPr>
            </w:pPr>
          </w:p>
        </w:tc>
      </w:tr>
    </w:tbl>
    <w:p>
      <w:pPr>
        <w:bidi w:val="0"/>
        <w:jc w:val="center"/>
        <w:rPr>
          <w:rFonts w:hint="eastAsia"/>
          <w:lang w:val="en-US" w:eastAsia="zh-CN"/>
        </w:rPr>
      </w:pPr>
    </w:p>
    <w:p>
      <w:pPr>
        <w:bidi w:val="0"/>
        <w:jc w:val="center"/>
        <w:rPr>
          <w:rFonts w:hint="eastAsia"/>
          <w:lang w:val="en-US" w:eastAsia="zh-CN"/>
        </w:rPr>
      </w:pPr>
      <w:r>
        <w:rPr>
          <w:rFonts w:hint="eastAsia"/>
          <w:lang w:val="en-US" w:eastAsia="zh-CN"/>
        </w:rPr>
        <w:object>
          <v:shape id="_x0000_i1034" o:spt="75" type="#_x0000_t75" style="height:401.5pt;width:336.25pt;" o:ole="t" filled="f" o:preferrelative="t" stroked="t" coordsize="21600,21600">
            <v:path/>
            <v:fill on="f" focussize="0,0"/>
            <v:stroke weight="1pt" color="#000000"/>
            <v:imagedata r:id="rId41" o:title=""/>
            <o:lock v:ext="edit" aspectratio="f"/>
            <w10:wrap type="none"/>
            <w10:anchorlock/>
          </v:shape>
          <o:OLEObject Type="Embed" ProgID="Visio.Drawing.11" ShapeID="_x0000_i1034" DrawAspect="Content" ObjectID="_1468075734" r:id="rId40">
            <o:LockedField>false</o:LockedField>
          </o:OLEObject>
        </w:object>
      </w:r>
    </w:p>
    <w:p>
      <w:pPr>
        <w:pStyle w:val="13"/>
        <w:bidi w:val="0"/>
        <w:rPr>
          <w:rFonts w:hint="eastAsia"/>
          <w:lang w:val="en-US" w:eastAsia="zh-CN"/>
        </w:rPr>
      </w:pPr>
      <w:r>
        <w:rPr>
          <w:rFonts w:hint="eastAsia"/>
          <w:lang w:val="en-US" w:eastAsia="zh-CN"/>
        </w:rPr>
        <w:t>图7.1-4    项目噪声监测点位示意图</w:t>
      </w:r>
    </w:p>
    <w:p>
      <w:pPr>
        <w:pStyle w:val="9"/>
        <w:bidi w:val="0"/>
        <w:rPr>
          <w:rFonts w:hint="eastAsia"/>
          <w:lang w:val="en-US" w:eastAsia="zh-CN"/>
        </w:rPr>
      </w:pP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28" w:name="_Toc1900"/>
      <w:r>
        <w:rPr>
          <w:rFonts w:hint="eastAsia"/>
          <w:sz w:val="30"/>
          <w:szCs w:val="30"/>
          <w:lang w:val="en-US" w:eastAsia="zh-CN"/>
        </w:rPr>
        <w:t>八、质量保证和质量控制</w:t>
      </w:r>
      <w:bookmarkEnd w:id="28"/>
    </w:p>
    <w:p>
      <w:pPr>
        <w:pStyle w:val="16"/>
        <w:bidi w:val="0"/>
        <w:rPr>
          <w:rFonts w:hint="eastAsia"/>
          <w:sz w:val="24"/>
          <w:szCs w:val="22"/>
          <w:lang w:val="en-US" w:eastAsia="zh-CN"/>
        </w:rPr>
      </w:pPr>
      <w:bookmarkStart w:id="29" w:name="_Toc13961"/>
      <w:r>
        <w:rPr>
          <w:rFonts w:hint="eastAsia"/>
          <w:sz w:val="24"/>
          <w:szCs w:val="22"/>
          <w:lang w:val="en-US" w:eastAsia="zh-CN"/>
        </w:rPr>
        <w:t>8.1 监测分析方法</w:t>
      </w:r>
      <w:bookmarkEnd w:id="29"/>
    </w:p>
    <w:p>
      <w:pPr>
        <w:pStyle w:val="13"/>
        <w:bidi w:val="0"/>
        <w:rPr>
          <w:rFonts w:hint="eastAsia"/>
          <w:lang w:val="en-US" w:eastAsia="zh-CN"/>
        </w:rPr>
      </w:pPr>
      <w:r>
        <w:rPr>
          <w:rFonts w:hint="eastAsia"/>
          <w:lang w:val="en-US" w:eastAsia="zh-CN"/>
        </w:rPr>
        <w:t>表8.1-1    废水检测项目分析方法一览表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974"/>
        <w:gridCol w:w="3370"/>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0" w:type="dxa"/>
            <w:vAlign w:val="center"/>
          </w:tcPr>
          <w:p>
            <w:pPr>
              <w:bidi w:val="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分类</w:t>
            </w:r>
          </w:p>
        </w:tc>
        <w:tc>
          <w:tcPr>
            <w:tcW w:w="1974" w:type="dxa"/>
            <w:vAlign w:val="center"/>
          </w:tcPr>
          <w:p>
            <w:pPr>
              <w:bidi w:val="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项目</w:t>
            </w:r>
          </w:p>
        </w:tc>
        <w:tc>
          <w:tcPr>
            <w:tcW w:w="3370" w:type="dxa"/>
            <w:vAlign w:val="center"/>
          </w:tcPr>
          <w:p>
            <w:pPr>
              <w:bidi w:val="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分析方法</w:t>
            </w:r>
          </w:p>
        </w:tc>
        <w:tc>
          <w:tcPr>
            <w:tcW w:w="1988" w:type="dxa"/>
            <w:vAlign w:val="center"/>
          </w:tcPr>
          <w:p>
            <w:pPr>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方法检出限</w:t>
            </w:r>
          </w:p>
          <w:p>
            <w:pPr>
              <w:bidi w:val="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mg/L</w:t>
            </w:r>
            <w:r>
              <w:rPr>
                <w:rFonts w:hint="default" w:ascii="Times New Roman" w:hAnsi="Times New Roman" w:cs="Times New Roman"/>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0" w:type="dxa"/>
            <w:vMerge w:val="restart"/>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tc>
        <w:tc>
          <w:tcPr>
            <w:tcW w:w="1974"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pH</w:t>
            </w:r>
          </w:p>
        </w:tc>
        <w:tc>
          <w:tcPr>
            <w:tcW w:w="3370"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GB 6920-1986玻璃电极法</w:t>
            </w:r>
          </w:p>
        </w:tc>
        <w:tc>
          <w:tcPr>
            <w:tcW w:w="1988"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0" w:type="dxa"/>
            <w:vMerge w:val="continue"/>
            <w:vAlign w:val="center"/>
          </w:tcPr>
          <w:p>
            <w:pPr>
              <w:bidi w:val="0"/>
              <w:jc w:val="center"/>
              <w:rPr>
                <w:rFonts w:hint="default" w:ascii="Times New Roman" w:hAnsi="Times New Roman" w:cs="Times New Roman"/>
                <w:sz w:val="21"/>
                <w:szCs w:val="21"/>
                <w:lang w:val="en-US" w:eastAsia="zh-CN"/>
              </w:rPr>
            </w:pPr>
          </w:p>
        </w:tc>
        <w:tc>
          <w:tcPr>
            <w:tcW w:w="1974"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SS</w:t>
            </w:r>
          </w:p>
        </w:tc>
        <w:tc>
          <w:tcPr>
            <w:tcW w:w="3370"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GB 11901-89重量法</w:t>
            </w:r>
          </w:p>
        </w:tc>
        <w:tc>
          <w:tcPr>
            <w:tcW w:w="1988"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0" w:type="dxa"/>
            <w:vMerge w:val="continue"/>
            <w:vAlign w:val="center"/>
          </w:tcPr>
          <w:p>
            <w:pPr>
              <w:bidi w:val="0"/>
              <w:jc w:val="center"/>
              <w:rPr>
                <w:rFonts w:hint="default" w:ascii="Times New Roman" w:hAnsi="Times New Roman" w:cs="Times New Roman"/>
                <w:sz w:val="21"/>
                <w:szCs w:val="21"/>
                <w:lang w:val="en-US" w:eastAsia="zh-CN"/>
              </w:rPr>
            </w:pPr>
          </w:p>
        </w:tc>
        <w:tc>
          <w:tcPr>
            <w:tcW w:w="1974"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COD</w:t>
            </w:r>
          </w:p>
        </w:tc>
        <w:tc>
          <w:tcPr>
            <w:tcW w:w="3370"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HJ 828-2017重铬酸盐法</w:t>
            </w:r>
          </w:p>
        </w:tc>
        <w:tc>
          <w:tcPr>
            <w:tcW w:w="1988"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0" w:type="dxa"/>
            <w:vMerge w:val="continue"/>
            <w:vAlign w:val="center"/>
          </w:tcPr>
          <w:p>
            <w:pPr>
              <w:bidi w:val="0"/>
              <w:jc w:val="center"/>
              <w:rPr>
                <w:rFonts w:hint="default" w:ascii="Times New Roman" w:hAnsi="Times New Roman" w:cs="Times New Roman"/>
                <w:sz w:val="21"/>
                <w:szCs w:val="21"/>
                <w:lang w:val="en-US" w:eastAsia="zh-CN"/>
              </w:rPr>
            </w:pPr>
          </w:p>
        </w:tc>
        <w:tc>
          <w:tcPr>
            <w:tcW w:w="1974"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BOD</w:t>
            </w:r>
            <w:r>
              <w:rPr>
                <w:rFonts w:hint="default" w:ascii="Times New Roman" w:hAnsi="Times New Roman" w:cs="Times New Roman"/>
                <w:vertAlign w:val="subscript"/>
              </w:rPr>
              <w:t>5</w:t>
            </w:r>
          </w:p>
        </w:tc>
        <w:tc>
          <w:tcPr>
            <w:tcW w:w="3370"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HJ</w:t>
            </w:r>
            <w:r>
              <w:rPr>
                <w:rFonts w:hint="eastAsia" w:ascii="Times New Roman" w:hAnsi="Times New Roman" w:cs="Times New Roman"/>
                <w:lang w:val="en-US" w:eastAsia="zh-CN"/>
              </w:rPr>
              <w:t xml:space="preserve"> </w:t>
            </w:r>
            <w:r>
              <w:rPr>
                <w:rFonts w:hint="default" w:ascii="Times New Roman" w:hAnsi="Times New Roman" w:cs="Times New Roman"/>
              </w:rPr>
              <w:t>505-2009稀释与接种法</w:t>
            </w:r>
          </w:p>
        </w:tc>
        <w:tc>
          <w:tcPr>
            <w:tcW w:w="1988"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90" w:type="dxa"/>
            <w:vMerge w:val="continue"/>
            <w:vAlign w:val="center"/>
          </w:tcPr>
          <w:p>
            <w:pPr>
              <w:bidi w:val="0"/>
              <w:jc w:val="center"/>
              <w:rPr>
                <w:rFonts w:hint="default" w:ascii="Times New Roman" w:hAnsi="Times New Roman" w:cs="Times New Roman"/>
                <w:sz w:val="21"/>
                <w:szCs w:val="21"/>
                <w:lang w:val="en-US" w:eastAsia="zh-CN"/>
              </w:rPr>
            </w:pPr>
          </w:p>
        </w:tc>
        <w:tc>
          <w:tcPr>
            <w:tcW w:w="1974"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氨氮</w:t>
            </w:r>
          </w:p>
        </w:tc>
        <w:tc>
          <w:tcPr>
            <w:tcW w:w="3370"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HJ</w:t>
            </w:r>
            <w:r>
              <w:rPr>
                <w:rFonts w:hint="eastAsia" w:ascii="Times New Roman" w:hAnsi="Times New Roman" w:cs="Times New Roman"/>
                <w:lang w:val="en-US" w:eastAsia="zh-CN"/>
              </w:rPr>
              <w:t xml:space="preserve"> </w:t>
            </w:r>
            <w:r>
              <w:rPr>
                <w:rFonts w:hint="default" w:ascii="Times New Roman" w:hAnsi="Times New Roman" w:cs="Times New Roman"/>
              </w:rPr>
              <w:t>535-2009纳氏试剂分光光度法</w:t>
            </w:r>
          </w:p>
        </w:tc>
        <w:tc>
          <w:tcPr>
            <w:tcW w:w="1988"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rPr>
              <w:t>0.025</w:t>
            </w:r>
          </w:p>
        </w:tc>
      </w:tr>
    </w:tbl>
    <w:p>
      <w:pPr>
        <w:pStyle w:val="13"/>
        <w:bidi w:val="0"/>
        <w:rPr>
          <w:rFonts w:hint="eastAsia"/>
          <w:lang w:val="en-US" w:eastAsia="zh-CN"/>
        </w:rPr>
      </w:pPr>
      <w:r>
        <w:rPr>
          <w:rFonts w:hint="eastAsia"/>
          <w:lang w:val="en-US" w:eastAsia="zh-CN"/>
        </w:rPr>
        <w:t>表8.1-2    废气检测项目分析方法一览表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50"/>
        <w:gridCol w:w="340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7"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分类</w:t>
            </w:r>
          </w:p>
        </w:tc>
        <w:tc>
          <w:tcPr>
            <w:tcW w:w="1950"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项目</w:t>
            </w:r>
          </w:p>
        </w:tc>
        <w:tc>
          <w:tcPr>
            <w:tcW w:w="3400"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eastAsia="zh-CN"/>
              </w:rPr>
              <w:t>分析方法</w:t>
            </w:r>
          </w:p>
        </w:tc>
        <w:tc>
          <w:tcPr>
            <w:tcW w:w="1965"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方法检出限</w:t>
            </w:r>
          </w:p>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7"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w:t>
            </w:r>
          </w:p>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p>
        </w:tc>
        <w:tc>
          <w:tcPr>
            <w:tcW w:w="195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340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rPr>
              <w:t>GB/T15432-1995重量法</w:t>
            </w:r>
          </w:p>
        </w:tc>
        <w:tc>
          <w:tcPr>
            <w:tcW w:w="196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7"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有组织</w:t>
            </w:r>
          </w:p>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废气</w:t>
            </w:r>
          </w:p>
        </w:tc>
        <w:tc>
          <w:tcPr>
            <w:tcW w:w="195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340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rPr>
              <w:t>HJ</w:t>
            </w:r>
            <w:r>
              <w:rPr>
                <w:rFonts w:hint="default" w:ascii="Times New Roman" w:hAnsi="Times New Roman" w:cs="Times New Roman"/>
                <w:lang w:val="en-US" w:eastAsia="zh-CN"/>
              </w:rPr>
              <w:t xml:space="preserve"> </w:t>
            </w:r>
            <w:r>
              <w:rPr>
                <w:rFonts w:hint="default" w:ascii="Times New Roman" w:hAnsi="Times New Roman" w:cs="Times New Roman"/>
              </w:rPr>
              <w:t>836-2017低浓度颗粒物的测定重量法</w:t>
            </w:r>
          </w:p>
        </w:tc>
        <w:tc>
          <w:tcPr>
            <w:tcW w:w="196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r>
    </w:tbl>
    <w:p>
      <w:pPr>
        <w:pStyle w:val="13"/>
        <w:bidi w:val="0"/>
        <w:rPr>
          <w:rFonts w:hint="eastAsia"/>
          <w:lang w:val="en-US" w:eastAsia="zh-CN"/>
        </w:rPr>
      </w:pPr>
      <w:r>
        <w:rPr>
          <w:rFonts w:hint="eastAsia"/>
          <w:lang w:val="en-US" w:eastAsia="zh-CN"/>
        </w:rPr>
        <w:t>表8.1-3    噪声检测项目分析方法一览表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50"/>
        <w:gridCol w:w="340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7"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分类</w:t>
            </w:r>
          </w:p>
        </w:tc>
        <w:tc>
          <w:tcPr>
            <w:tcW w:w="1950"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项目</w:t>
            </w:r>
          </w:p>
        </w:tc>
        <w:tc>
          <w:tcPr>
            <w:tcW w:w="3400" w:type="dxa"/>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eastAsia="zh-CN"/>
              </w:rPr>
              <w:t>分析方法</w:t>
            </w:r>
          </w:p>
        </w:tc>
        <w:tc>
          <w:tcPr>
            <w:tcW w:w="1965"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方法检出限</w:t>
            </w:r>
          </w:p>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dB（A）</w:t>
            </w:r>
            <w:r>
              <w:rPr>
                <w:rFonts w:hint="default" w:ascii="Times New Roman" w:hAnsi="Times New Roman" w:eastAsia="宋体" w:cs="Times New Roman"/>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340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GB 12348-2008工业企业厂界环境噪声排放标准</w:t>
            </w:r>
          </w:p>
        </w:tc>
        <w:tc>
          <w:tcPr>
            <w:tcW w:w="196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pStyle w:val="16"/>
        <w:bidi w:val="0"/>
        <w:rPr>
          <w:rFonts w:hint="eastAsia"/>
          <w:sz w:val="24"/>
          <w:szCs w:val="22"/>
          <w:lang w:val="en-US" w:eastAsia="zh-CN"/>
        </w:rPr>
      </w:pPr>
      <w:bookmarkStart w:id="30" w:name="_Toc7532"/>
      <w:r>
        <w:rPr>
          <w:rFonts w:hint="eastAsia"/>
          <w:lang w:val="en-US" w:eastAsia="zh-CN"/>
        </w:rPr>
        <w:drawing>
          <wp:anchor distT="0" distB="0" distL="114300" distR="114300" simplePos="0" relativeHeight="251791360" behindDoc="1" locked="0" layoutInCell="1" allowOverlap="1">
            <wp:simplePos x="0" y="0"/>
            <wp:positionH relativeFrom="column">
              <wp:posOffset>1598930</wp:posOffset>
            </wp:positionH>
            <wp:positionV relativeFrom="paragraph">
              <wp:posOffset>249555</wp:posOffset>
            </wp:positionV>
            <wp:extent cx="2440305" cy="3458210"/>
            <wp:effectExtent l="0" t="0" r="17145" b="8890"/>
            <wp:wrapNone/>
            <wp:docPr id="60" name="图片 60" descr="中望检测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中望检测资质"/>
                    <pic:cNvPicPr>
                      <a:picLocks noChangeAspect="1"/>
                    </pic:cNvPicPr>
                  </pic:nvPicPr>
                  <pic:blipFill>
                    <a:blip r:embed="rId42"/>
                    <a:stretch>
                      <a:fillRect/>
                    </a:stretch>
                  </pic:blipFill>
                  <pic:spPr>
                    <a:xfrm>
                      <a:off x="0" y="0"/>
                      <a:ext cx="2440305" cy="3458210"/>
                    </a:xfrm>
                    <a:prstGeom prst="rect">
                      <a:avLst/>
                    </a:prstGeom>
                  </pic:spPr>
                </pic:pic>
              </a:graphicData>
            </a:graphic>
          </wp:anchor>
        </w:drawing>
      </w:r>
      <w:r>
        <w:rPr>
          <w:rFonts w:hint="eastAsia"/>
          <w:sz w:val="24"/>
          <w:szCs w:val="22"/>
          <w:lang w:val="en-US" w:eastAsia="zh-CN"/>
        </w:rPr>
        <w:t>8.2 监测资质</w:t>
      </w:r>
      <w:bookmarkEnd w:id="30"/>
    </w:p>
    <w:p>
      <w:pPr>
        <w:bidi w:val="0"/>
        <w:rPr>
          <w:rFonts w:hint="eastAsia"/>
          <w:lang w:val="en-US" w:eastAsia="zh-CN"/>
        </w:rPr>
      </w:pPr>
      <w:bookmarkStart w:id="31" w:name="_Toc21699"/>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16"/>
        <w:bidi w:val="0"/>
        <w:rPr>
          <w:rFonts w:hint="eastAsia"/>
          <w:sz w:val="24"/>
          <w:szCs w:val="22"/>
          <w:lang w:val="en-US" w:eastAsia="zh-CN"/>
        </w:rPr>
      </w:pPr>
      <w:r>
        <w:rPr>
          <w:rFonts w:hint="eastAsia"/>
          <w:sz w:val="24"/>
          <w:szCs w:val="22"/>
          <w:lang w:val="en-US" w:eastAsia="zh-CN"/>
        </w:rPr>
        <w:t>8.3 水质监测分析过程中的质量保证和质量控制</w:t>
      </w:r>
      <w:bookmarkEnd w:id="31"/>
    </w:p>
    <w:p>
      <w:pPr>
        <w:pStyle w:val="9"/>
        <w:bidi w:val="0"/>
        <w:rPr>
          <w:rFonts w:hint="eastAsia"/>
          <w:lang w:val="en-US" w:eastAsia="zh-CN"/>
        </w:rPr>
      </w:pPr>
      <w:r>
        <w:rPr>
          <w:rFonts w:hint="eastAsia"/>
          <w:lang w:val="en-US" w:eastAsia="zh-CN"/>
        </w:rPr>
        <w:t>水样的采集、运输、保存、实验室分析和数据计算的全过程均按国家环保总局颁布的《环境监测质量保证管理规定》</w:t>
      </w:r>
      <w:bookmarkStart w:id="52" w:name="_GoBack"/>
      <w:bookmarkEnd w:id="52"/>
      <w:r>
        <w:rPr>
          <w:rFonts w:hint="eastAsia"/>
          <w:lang w:val="en-US" w:eastAsia="zh-CN"/>
        </w:rPr>
        <w:t>、《环境监测技术规范》和中国环境监测总站编写的《环境水质监测质量保证手册》等的要求进行。选择的方法检出限满足要求，采样过程中采集一定比例的平行样。实行从现场采样到数据出报全程序质量控制。</w:t>
      </w:r>
    </w:p>
    <w:p>
      <w:pPr>
        <w:pStyle w:val="16"/>
        <w:bidi w:val="0"/>
        <w:rPr>
          <w:rFonts w:hint="eastAsia"/>
          <w:sz w:val="24"/>
          <w:szCs w:val="22"/>
          <w:lang w:val="en-US" w:eastAsia="zh-CN"/>
        </w:rPr>
      </w:pPr>
      <w:bookmarkStart w:id="32" w:name="_Toc20651"/>
      <w:r>
        <w:rPr>
          <w:rFonts w:hint="eastAsia"/>
          <w:sz w:val="24"/>
          <w:szCs w:val="22"/>
          <w:lang w:val="en-US" w:eastAsia="zh-CN"/>
        </w:rPr>
        <w:t>8.4 气体监测分析过程中的质量保证和质量控制</w:t>
      </w:r>
      <w:bookmarkEnd w:id="32"/>
    </w:p>
    <w:p>
      <w:pPr>
        <w:pStyle w:val="9"/>
        <w:bidi w:val="0"/>
        <w:rPr>
          <w:rFonts w:hint="eastAsia"/>
          <w:lang w:val="en-US" w:eastAsia="zh-CN"/>
        </w:rPr>
      </w:pPr>
      <w:r>
        <w:rPr>
          <w:rFonts w:hint="eastAsia"/>
          <w:lang w:val="en-US" w:eastAsia="zh-CN"/>
        </w:rPr>
        <w:t>气体样的采集、运输、分析及监测结果的分析评价均按国家环保总局颁布的《环境监测质量保证管理规定</w:t>
      </w:r>
      <w:r>
        <w:rPr>
          <w:rFonts w:hint="eastAsia"/>
          <w:highlight w:val="none"/>
          <w:lang w:val="en-US" w:eastAsia="zh-CN"/>
        </w:rPr>
        <w:t>》、《</w:t>
      </w:r>
      <w:r>
        <w:rPr>
          <w:rFonts w:hint="eastAsia"/>
          <w:lang w:val="en-US" w:eastAsia="zh-CN"/>
        </w:rPr>
        <w:t>环境监测技术规范》和中国环境监测总站编写的《空气和废气监测质量保证技术规定（试行）》的要求进行，实行从现场采样到数据出报全程序质量控制。废气监测每次采集平行双样，分析结果取平均值，气体样品采气量执行采样标准要求，不少于20L。所有仪器均符合计量认证要求。废气和环境空气监测仪器使用前按操作规程进行了流量校准和系统试漏检验。</w:t>
      </w:r>
    </w:p>
    <w:p>
      <w:pPr>
        <w:pStyle w:val="16"/>
        <w:bidi w:val="0"/>
        <w:rPr>
          <w:rFonts w:hint="eastAsia"/>
          <w:sz w:val="24"/>
          <w:szCs w:val="22"/>
          <w:lang w:val="en-US" w:eastAsia="zh-CN"/>
        </w:rPr>
      </w:pPr>
      <w:bookmarkStart w:id="33" w:name="_Toc1369"/>
      <w:r>
        <w:rPr>
          <w:rFonts w:hint="eastAsia"/>
          <w:sz w:val="24"/>
          <w:szCs w:val="22"/>
          <w:lang w:val="en-US" w:eastAsia="zh-CN"/>
        </w:rPr>
        <w:t>8.5 噪声监测分析过程中的质量保证和质量控制</w:t>
      </w:r>
      <w:bookmarkEnd w:id="33"/>
    </w:p>
    <w:p>
      <w:pPr>
        <w:pStyle w:val="9"/>
        <w:bidi w:val="0"/>
        <w:rPr>
          <w:rFonts w:hint="eastAsia"/>
          <w:lang w:val="en-US" w:eastAsia="zh-CN"/>
        </w:rPr>
      </w:pPr>
      <w:r>
        <w:rPr>
          <w:rFonts w:hint="eastAsia"/>
          <w:lang w:val="en-US" w:eastAsia="zh-CN"/>
        </w:rPr>
        <w:t>噪声监测仪器测量前后均经ND-9声级校准仪校准，测量条件严格按监测技术规范要求进行，声级计校准误差0±0.1dB(A)。因此，本次验收监测结果准确，具有代表性。</w:t>
      </w:r>
    </w:p>
    <w:p>
      <w:pPr>
        <w:pStyle w:val="9"/>
        <w:bidi w:val="0"/>
        <w:rPr>
          <w:rFonts w:hint="eastAsia"/>
          <w:lang w:val="en-US" w:eastAsia="zh-CN"/>
        </w:rPr>
      </w:pPr>
      <w:r>
        <w:rPr>
          <w:rFonts w:hint="eastAsia"/>
          <w:lang w:val="en-US" w:eastAsia="zh-CN"/>
        </w:rPr>
        <w:t>监测记录、监测结果和监测报告执行三级审核制度。</w:t>
      </w: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34" w:name="_Toc908"/>
      <w:r>
        <w:rPr>
          <w:rFonts w:hint="eastAsia"/>
          <w:sz w:val="30"/>
          <w:szCs w:val="30"/>
          <w:lang w:val="en-US" w:eastAsia="zh-CN"/>
        </w:rPr>
        <w:t>九、验收监测结果</w:t>
      </w:r>
      <w:bookmarkEnd w:id="34"/>
    </w:p>
    <w:p>
      <w:pPr>
        <w:pStyle w:val="9"/>
        <w:bidi w:val="0"/>
        <w:rPr>
          <w:rFonts w:hint="eastAsia"/>
          <w:lang w:val="en-US" w:eastAsia="zh-CN"/>
        </w:rPr>
      </w:pPr>
      <w:r>
        <w:rPr>
          <w:rFonts w:hint="eastAsia"/>
          <w:lang w:val="en-US" w:eastAsia="zh-CN"/>
        </w:rPr>
        <w:t>此次验收监测是对合肥东陆混凝土有限公司混凝土生产项目环保设施的建设、运行和环境管理进行竣工验收，对环保设施的处理效果进行监测，对排放的主要污染物进行监测，以检查是否达到国家规定的各类污染物的排放标准各种污染防治设施是否落实并达到环评要求和预期效果；考察该项目运营后对周围环境产生的影响。</w:t>
      </w:r>
    </w:p>
    <w:p>
      <w:pPr>
        <w:pStyle w:val="16"/>
        <w:bidi w:val="0"/>
        <w:rPr>
          <w:rFonts w:hint="eastAsia"/>
          <w:sz w:val="24"/>
          <w:szCs w:val="22"/>
          <w:lang w:val="en-US" w:eastAsia="zh-CN"/>
        </w:rPr>
      </w:pPr>
      <w:bookmarkStart w:id="35" w:name="_Toc13294"/>
      <w:r>
        <w:rPr>
          <w:rFonts w:hint="eastAsia"/>
          <w:sz w:val="24"/>
          <w:szCs w:val="22"/>
          <w:lang w:val="en-US" w:eastAsia="zh-CN"/>
        </w:rPr>
        <w:t>9.1 验收监测期间供应工况</w:t>
      </w:r>
      <w:bookmarkEnd w:id="35"/>
    </w:p>
    <w:p>
      <w:pPr>
        <w:pStyle w:val="9"/>
        <w:bidi w:val="0"/>
        <w:rPr>
          <w:rFonts w:hint="eastAsia"/>
          <w:lang w:val="en-US" w:eastAsia="zh-CN"/>
        </w:rPr>
      </w:pPr>
      <w:r>
        <w:rPr>
          <w:rFonts w:hint="eastAsia"/>
          <w:lang w:val="en-US" w:eastAsia="zh-CN"/>
        </w:rPr>
        <w:t>合肥东陆混凝土有限公司于2018年11月委托安徽省中望环保节能检测有限公司进行混凝土生产项目竣工环境保护验收监测，安徽省中望环保节能检测有限公司于2018年11月26日~27日进行现场监测，废气、废水、噪声污染源排放监测及环境管理检查同步进行。验收监测期间各项污染治理设施运行正常，符合验收监测要求。工况分析见表9.1-1。</w:t>
      </w:r>
    </w:p>
    <w:p>
      <w:pPr>
        <w:pStyle w:val="13"/>
        <w:bidi w:val="0"/>
        <w:rPr>
          <w:rFonts w:hint="eastAsia"/>
          <w:lang w:val="en-US" w:eastAsia="zh-CN"/>
        </w:rPr>
      </w:pPr>
      <w:r>
        <w:rPr>
          <w:rFonts w:hint="eastAsia"/>
          <w:lang w:val="en-US" w:eastAsia="zh-CN"/>
        </w:rPr>
        <w:t>表9.1-1    项目验收监测期间工况一览表</w:t>
      </w:r>
    </w:p>
    <w:tbl>
      <w:tblPr>
        <w:tblStyle w:val="11"/>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1578"/>
        <w:gridCol w:w="1578"/>
        <w:gridCol w:w="1578"/>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10"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日期</w:t>
            </w:r>
          </w:p>
        </w:tc>
        <w:tc>
          <w:tcPr>
            <w:tcW w:w="1578" w:type="dxa"/>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规模类别名称</w:t>
            </w:r>
          </w:p>
        </w:tc>
        <w:tc>
          <w:tcPr>
            <w:tcW w:w="1578" w:type="dxa"/>
            <w:vAlign w:val="center"/>
          </w:tcPr>
          <w:p>
            <w:pPr>
              <w:bidi w:val="0"/>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环评设计产量</w:t>
            </w:r>
          </w:p>
        </w:tc>
        <w:tc>
          <w:tcPr>
            <w:tcW w:w="1578" w:type="dxa"/>
            <w:vAlign w:val="center"/>
          </w:tcPr>
          <w:p>
            <w:pPr>
              <w:bidi w:val="0"/>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实际产量</w:t>
            </w:r>
          </w:p>
        </w:tc>
        <w:tc>
          <w:tcPr>
            <w:tcW w:w="1579" w:type="dxa"/>
            <w:vAlign w:val="center"/>
          </w:tcPr>
          <w:p>
            <w:pPr>
              <w:bidi w:val="0"/>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运行负荷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1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2018年11月26日</w:t>
            </w:r>
          </w:p>
        </w:tc>
        <w:tc>
          <w:tcPr>
            <w:tcW w:w="1578"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商品混凝土</w:t>
            </w:r>
          </w:p>
        </w:tc>
        <w:tc>
          <w:tcPr>
            <w:tcW w:w="1578"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p>
        </w:tc>
        <w:tc>
          <w:tcPr>
            <w:tcW w:w="1578"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2000m</w:t>
            </w:r>
            <w:r>
              <w:rPr>
                <w:rFonts w:hint="default" w:ascii="Times New Roman" w:hAnsi="Times New Roman" w:eastAsia="宋体" w:cs="Times New Roman"/>
                <w:sz w:val="21"/>
                <w:szCs w:val="21"/>
                <w:vertAlign w:val="superscript"/>
                <w:lang w:val="en-US" w:eastAsia="zh-CN"/>
              </w:rPr>
              <w:t>3</w:t>
            </w:r>
          </w:p>
        </w:tc>
        <w:tc>
          <w:tcPr>
            <w:tcW w:w="157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10"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2018年11月27日</w:t>
            </w:r>
          </w:p>
        </w:tc>
        <w:tc>
          <w:tcPr>
            <w:tcW w:w="1578"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商品混凝土</w:t>
            </w:r>
          </w:p>
        </w:tc>
        <w:tc>
          <w:tcPr>
            <w:tcW w:w="1578"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p>
        </w:tc>
        <w:tc>
          <w:tcPr>
            <w:tcW w:w="1578"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2050m</w:t>
            </w:r>
            <w:r>
              <w:rPr>
                <w:rFonts w:hint="default" w:ascii="Times New Roman" w:hAnsi="Times New Roman" w:eastAsia="宋体" w:cs="Times New Roman"/>
                <w:sz w:val="21"/>
                <w:szCs w:val="21"/>
                <w:vertAlign w:val="superscript"/>
                <w:lang w:val="en-US" w:eastAsia="zh-CN"/>
              </w:rPr>
              <w:t>3</w:t>
            </w:r>
          </w:p>
        </w:tc>
        <w:tc>
          <w:tcPr>
            <w:tcW w:w="1579"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85.42%</w:t>
            </w:r>
          </w:p>
        </w:tc>
      </w:tr>
    </w:tbl>
    <w:p>
      <w:pPr>
        <w:pStyle w:val="16"/>
        <w:bidi w:val="0"/>
        <w:rPr>
          <w:rFonts w:hint="eastAsia"/>
          <w:sz w:val="24"/>
          <w:szCs w:val="22"/>
          <w:lang w:val="en-US" w:eastAsia="zh-CN"/>
        </w:rPr>
      </w:pPr>
      <w:bookmarkStart w:id="36" w:name="_Toc25286"/>
      <w:r>
        <w:rPr>
          <w:rFonts w:hint="eastAsia"/>
          <w:sz w:val="24"/>
          <w:szCs w:val="22"/>
          <w:lang w:val="en-US" w:eastAsia="zh-CN"/>
        </w:rPr>
        <w:t>9.2 环保设施调试效率监测结果</w:t>
      </w:r>
      <w:bookmarkEnd w:id="36"/>
    </w:p>
    <w:p>
      <w:pPr>
        <w:pStyle w:val="17"/>
        <w:bidi w:val="0"/>
        <w:rPr>
          <w:rFonts w:hint="eastAsia"/>
          <w:lang w:val="en-US" w:eastAsia="zh-CN"/>
        </w:rPr>
      </w:pPr>
      <w:r>
        <w:rPr>
          <w:rFonts w:hint="eastAsia"/>
          <w:lang w:val="en-US" w:eastAsia="zh-CN"/>
        </w:rPr>
        <w:t>9.2.1 环保设施处理效率监测结果</w:t>
      </w:r>
    </w:p>
    <w:p>
      <w:pPr>
        <w:pStyle w:val="9"/>
        <w:bidi w:val="0"/>
        <w:rPr>
          <w:rFonts w:hint="eastAsia"/>
          <w:lang w:val="en-US" w:eastAsia="zh-CN"/>
        </w:rPr>
      </w:pPr>
      <w:r>
        <w:rPr>
          <w:rFonts w:hint="eastAsia"/>
          <w:lang w:val="en-US" w:eastAsia="zh-CN"/>
        </w:rPr>
        <w:t>本项目圆筒料</w:t>
      </w:r>
      <w:r>
        <w:rPr>
          <w:rFonts w:hint="eastAsia"/>
          <w:highlight w:val="none"/>
          <w:lang w:val="en-US" w:eastAsia="zh-CN"/>
        </w:rPr>
        <w:t>仓仓</w:t>
      </w:r>
      <w:r>
        <w:rPr>
          <w:rFonts w:hint="eastAsia"/>
          <w:lang w:val="en-US" w:eastAsia="zh-CN"/>
        </w:rPr>
        <w:t>顶粉尘经管道直接收集后通过脉冲袋式除尘器处理，处理后通过25m高排气筒排放；搅拌主楼下料粉</w:t>
      </w:r>
      <w:r>
        <w:rPr>
          <w:rFonts w:hint="eastAsia"/>
          <w:highlight w:val="none"/>
          <w:lang w:val="en-US" w:eastAsia="zh-CN"/>
        </w:rPr>
        <w:t>尘经管道直接收集后通</w:t>
      </w:r>
      <w:r>
        <w:rPr>
          <w:rFonts w:hint="eastAsia"/>
          <w:lang w:val="en-US" w:eastAsia="zh-CN"/>
        </w:rPr>
        <w:t>过脉冲袋式除尘器处理，处理后无组织排放。圆筒料仓顶的脉冲袋式除尘器为直接安装于料仓顶，搅拌主楼脉冲袋式除尘器前端直管距离过短，均无法设置监测采样点，因此仅对颗粒物排放浓度及速率进行监测。</w:t>
      </w:r>
    </w:p>
    <w:p>
      <w:pPr>
        <w:pStyle w:val="17"/>
        <w:bidi w:val="0"/>
        <w:rPr>
          <w:rFonts w:hint="eastAsia"/>
          <w:lang w:val="en-US" w:eastAsia="zh-CN"/>
        </w:rPr>
      </w:pPr>
      <w:r>
        <w:rPr>
          <w:rFonts w:hint="eastAsia"/>
          <w:lang w:val="en-US" w:eastAsia="zh-CN"/>
        </w:rPr>
        <w:t>9.2.2 污染物排放监测结果</w:t>
      </w:r>
    </w:p>
    <w:p>
      <w:pPr>
        <w:pStyle w:val="18"/>
        <w:bidi w:val="0"/>
        <w:rPr>
          <w:rFonts w:hint="eastAsia"/>
          <w:lang w:val="en-US" w:eastAsia="zh-CN"/>
        </w:rPr>
      </w:pPr>
      <w:r>
        <w:rPr>
          <w:rFonts w:hint="eastAsia"/>
          <w:lang w:val="en-US" w:eastAsia="zh-CN"/>
        </w:rPr>
        <w:t>9.2.2.1 废气</w:t>
      </w:r>
    </w:p>
    <w:p>
      <w:pPr>
        <w:pStyle w:val="9"/>
        <w:bidi w:val="0"/>
        <w:rPr>
          <w:rFonts w:hint="eastAsia"/>
          <w:lang w:val="en-US" w:eastAsia="zh-CN"/>
        </w:rPr>
      </w:pPr>
      <w:r>
        <w:rPr>
          <w:rFonts w:hint="eastAsia"/>
          <w:lang w:val="en-US" w:eastAsia="zh-CN"/>
        </w:rPr>
        <w:t>项目有组织废气监测结果见下表。</w:t>
      </w: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r>
        <w:rPr>
          <w:rFonts w:hint="eastAsia"/>
          <w:lang w:val="en-US" w:eastAsia="zh-CN"/>
        </w:rPr>
        <w:t>表9.2-1    圆筒料仓1#排气筒废气检测结果</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11"/>
        <w:gridCol w:w="668"/>
        <w:gridCol w:w="1131"/>
        <w:gridCol w:w="971"/>
        <w:gridCol w:w="972"/>
        <w:gridCol w:w="972"/>
        <w:gridCol w:w="529"/>
        <w:gridCol w:w="443"/>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采样点位</w:t>
            </w:r>
          </w:p>
        </w:tc>
        <w:tc>
          <w:tcPr>
            <w:tcW w:w="1379" w:type="dxa"/>
            <w:gridSpan w:val="2"/>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项目参数</w:t>
            </w:r>
          </w:p>
        </w:tc>
        <w:tc>
          <w:tcPr>
            <w:tcW w:w="1131"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净化设施</w:t>
            </w:r>
          </w:p>
        </w:tc>
        <w:tc>
          <w:tcPr>
            <w:tcW w:w="1943" w:type="dxa"/>
            <w:gridSpan w:val="2"/>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布袋除尘</w:t>
            </w:r>
          </w:p>
        </w:tc>
        <w:tc>
          <w:tcPr>
            <w:tcW w:w="1501"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排气筒高度（m）</w:t>
            </w:r>
          </w:p>
        </w:tc>
        <w:tc>
          <w:tcPr>
            <w:tcW w:w="1417" w:type="dxa"/>
            <w:gridSpan w:val="2"/>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b/>
                <w:bCs/>
                <w:sz w:val="21"/>
                <w:szCs w:val="21"/>
              </w:rPr>
            </w:pPr>
          </w:p>
        </w:tc>
        <w:tc>
          <w:tcPr>
            <w:tcW w:w="1379" w:type="dxa"/>
            <w:gridSpan w:val="2"/>
            <w:vMerge w:val="continue"/>
            <w:vAlign w:val="center"/>
          </w:tcPr>
          <w:p>
            <w:pPr>
              <w:bidi w:val="0"/>
              <w:jc w:val="center"/>
              <w:rPr>
                <w:rFonts w:hint="default" w:ascii="Times New Roman" w:hAnsi="Times New Roman" w:eastAsia="宋体" w:cs="Times New Roman"/>
                <w:b/>
                <w:bCs/>
                <w:sz w:val="21"/>
                <w:szCs w:val="21"/>
              </w:rPr>
            </w:pPr>
          </w:p>
        </w:tc>
        <w:tc>
          <w:tcPr>
            <w:tcW w:w="3074" w:type="dxa"/>
            <w:gridSpan w:val="3"/>
            <w:vAlign w:val="center"/>
          </w:tcPr>
          <w:p>
            <w:pPr>
              <w:bidi w:val="0"/>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2018年</w:t>
            </w:r>
            <w:r>
              <w:rPr>
                <w:rFonts w:hint="default"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月</w:t>
            </w:r>
            <w:r>
              <w:rPr>
                <w:rFonts w:hint="default" w:ascii="Times New Roman" w:hAnsi="Times New Roman" w:eastAsia="宋体" w:cs="Times New Roman"/>
                <w:b/>
                <w:bCs/>
                <w:sz w:val="21"/>
                <w:szCs w:val="21"/>
                <w:lang w:val="en-US" w:eastAsia="zh-CN"/>
              </w:rPr>
              <w:t>26</w:t>
            </w:r>
            <w:r>
              <w:rPr>
                <w:rFonts w:hint="default" w:ascii="Times New Roman" w:hAnsi="Times New Roman" w:eastAsia="宋体" w:cs="Times New Roman"/>
                <w:b/>
                <w:bCs/>
                <w:sz w:val="21"/>
                <w:szCs w:val="21"/>
              </w:rPr>
              <w:t>日</w:t>
            </w:r>
          </w:p>
        </w:tc>
        <w:tc>
          <w:tcPr>
            <w:tcW w:w="2918" w:type="dxa"/>
            <w:gridSpan w:val="4"/>
            <w:vAlign w:val="center"/>
          </w:tcPr>
          <w:p>
            <w:pPr>
              <w:bidi w:val="0"/>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2018年</w:t>
            </w:r>
            <w:r>
              <w:rPr>
                <w:rFonts w:hint="default"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月</w:t>
            </w:r>
            <w:r>
              <w:rPr>
                <w:rFonts w:hint="default" w:ascii="Times New Roman" w:hAnsi="Times New Roman" w:eastAsia="宋体" w:cs="Times New Roman"/>
                <w:b/>
                <w:bCs/>
                <w:sz w:val="21"/>
                <w:szCs w:val="21"/>
                <w:lang w:val="en-US" w:eastAsia="zh-CN"/>
              </w:rPr>
              <w:t>27</w:t>
            </w:r>
            <w:r>
              <w:rPr>
                <w:rFonts w:hint="default" w:ascii="Times New Roman" w:hAnsi="Times New Roman" w:eastAsia="宋体" w:cs="Times New Roman"/>
                <w:b/>
                <w:bCs/>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b/>
                <w:bCs/>
                <w:sz w:val="21"/>
                <w:szCs w:val="21"/>
              </w:rPr>
            </w:pPr>
          </w:p>
        </w:tc>
        <w:tc>
          <w:tcPr>
            <w:tcW w:w="1379" w:type="dxa"/>
            <w:gridSpan w:val="2"/>
            <w:vMerge w:val="continue"/>
            <w:vAlign w:val="center"/>
          </w:tcPr>
          <w:p>
            <w:pPr>
              <w:bidi w:val="0"/>
              <w:jc w:val="center"/>
              <w:rPr>
                <w:rFonts w:hint="default" w:ascii="Times New Roman" w:hAnsi="Times New Roman" w:eastAsia="宋体" w:cs="Times New Roman"/>
                <w:b/>
                <w:bCs/>
                <w:sz w:val="21"/>
                <w:szCs w:val="21"/>
              </w:rPr>
            </w:pPr>
          </w:p>
        </w:tc>
        <w:tc>
          <w:tcPr>
            <w:tcW w:w="1131" w:type="dxa"/>
            <w:vAlign w:val="center"/>
          </w:tcPr>
          <w:p>
            <w:pPr>
              <w:bidi w:val="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I</w:t>
            </w:r>
          </w:p>
        </w:tc>
        <w:tc>
          <w:tcPr>
            <w:tcW w:w="971"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II</w:t>
            </w:r>
          </w:p>
        </w:tc>
        <w:tc>
          <w:tcPr>
            <w:tcW w:w="972"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III</w:t>
            </w:r>
          </w:p>
        </w:tc>
        <w:tc>
          <w:tcPr>
            <w:tcW w:w="972"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Ⅰ</w:t>
            </w:r>
          </w:p>
        </w:tc>
        <w:tc>
          <w:tcPr>
            <w:tcW w:w="972"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Ⅱ</w:t>
            </w:r>
          </w:p>
        </w:tc>
        <w:tc>
          <w:tcPr>
            <w:tcW w:w="974"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restar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处理设施</w:t>
            </w:r>
            <w:r>
              <w:rPr>
                <w:rFonts w:hint="default" w:ascii="Times New Roman" w:hAnsi="Times New Roman" w:eastAsia="宋体" w:cs="Times New Roman"/>
                <w:sz w:val="21"/>
                <w:szCs w:val="21"/>
                <w:lang w:eastAsia="zh-CN"/>
              </w:rPr>
              <w:t>出</w:t>
            </w:r>
            <w:r>
              <w:rPr>
                <w:rFonts w:hint="default" w:ascii="Times New Roman" w:hAnsi="Times New Roman" w:eastAsia="宋体" w:cs="Times New Roman"/>
                <w:sz w:val="21"/>
                <w:szCs w:val="21"/>
              </w:rPr>
              <w:t>口</w:t>
            </w:r>
          </w:p>
        </w:tc>
        <w:tc>
          <w:tcPr>
            <w:tcW w:w="1379" w:type="dxa"/>
            <w:gridSpan w:val="2"/>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标干流量（m³/h）</w:t>
            </w:r>
          </w:p>
        </w:tc>
        <w:tc>
          <w:tcPr>
            <w:tcW w:w="113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3614</w:t>
            </w:r>
          </w:p>
        </w:tc>
        <w:tc>
          <w:tcPr>
            <w:tcW w:w="97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3427</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3782</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3753</w:t>
            </w:r>
          </w:p>
        </w:tc>
        <w:tc>
          <w:tcPr>
            <w:tcW w:w="972" w:type="dxa"/>
            <w:gridSpan w:val="2"/>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3518</w:t>
            </w:r>
          </w:p>
        </w:tc>
        <w:tc>
          <w:tcPr>
            <w:tcW w:w="97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sz w:val="21"/>
                <w:szCs w:val="21"/>
              </w:rPr>
            </w:pPr>
          </w:p>
        </w:tc>
        <w:tc>
          <w:tcPr>
            <w:tcW w:w="711" w:type="dxa"/>
            <w:vMerge w:val="restar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颗粒物</w:t>
            </w:r>
          </w:p>
        </w:tc>
        <w:tc>
          <w:tcPr>
            <w:tcW w:w="668"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w:t>
            </w:r>
          </w:p>
        </w:tc>
        <w:tc>
          <w:tcPr>
            <w:tcW w:w="113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c>
          <w:tcPr>
            <w:tcW w:w="97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8.3</w:t>
            </w:r>
          </w:p>
        </w:tc>
        <w:tc>
          <w:tcPr>
            <w:tcW w:w="972" w:type="dxa"/>
            <w:gridSpan w:val="2"/>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7.8</w:t>
            </w:r>
          </w:p>
        </w:tc>
        <w:tc>
          <w:tcPr>
            <w:tcW w:w="97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sz w:val="21"/>
                <w:szCs w:val="21"/>
              </w:rPr>
            </w:pPr>
          </w:p>
        </w:tc>
        <w:tc>
          <w:tcPr>
            <w:tcW w:w="711" w:type="dxa"/>
            <w:vMerge w:val="continue"/>
            <w:vAlign w:val="center"/>
          </w:tcPr>
          <w:p>
            <w:pPr>
              <w:bidi w:val="0"/>
              <w:jc w:val="center"/>
              <w:rPr>
                <w:rFonts w:hint="default" w:ascii="Times New Roman" w:hAnsi="Times New Roman" w:eastAsia="宋体" w:cs="Times New Roman"/>
                <w:sz w:val="21"/>
                <w:szCs w:val="21"/>
              </w:rPr>
            </w:pPr>
          </w:p>
        </w:tc>
        <w:tc>
          <w:tcPr>
            <w:tcW w:w="668"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w:t>
            </w:r>
          </w:p>
        </w:tc>
        <w:tc>
          <w:tcPr>
            <w:tcW w:w="113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0.031</w:t>
            </w:r>
          </w:p>
        </w:tc>
        <w:tc>
          <w:tcPr>
            <w:tcW w:w="97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0.030</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0.030</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0.031</w:t>
            </w:r>
          </w:p>
        </w:tc>
        <w:tc>
          <w:tcPr>
            <w:tcW w:w="972" w:type="dxa"/>
            <w:gridSpan w:val="2"/>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0.027</w:t>
            </w:r>
          </w:p>
        </w:tc>
        <w:tc>
          <w:tcPr>
            <w:tcW w:w="97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30" w:type="dxa"/>
            <w:gridSpan w:val="3"/>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5992" w:type="dxa"/>
            <w:gridSpan w:val="7"/>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C：排放浓度（mg/m³），Q：排放速率（kg/h）</w:t>
            </w:r>
          </w:p>
        </w:tc>
      </w:tr>
    </w:tbl>
    <w:p>
      <w:pPr>
        <w:pStyle w:val="13"/>
        <w:bidi w:val="0"/>
        <w:rPr>
          <w:rFonts w:hint="eastAsia"/>
          <w:lang w:val="en-US" w:eastAsia="zh-CN"/>
        </w:rPr>
      </w:pPr>
      <w:r>
        <w:rPr>
          <w:rFonts w:hint="eastAsia"/>
          <w:lang w:val="en-US" w:eastAsia="zh-CN"/>
        </w:rPr>
        <w:t>表9.2-2    圆筒料仓2#排气筒废气检测结果</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24"/>
        <w:gridCol w:w="668"/>
        <w:gridCol w:w="1114"/>
        <w:gridCol w:w="4"/>
        <w:gridCol w:w="971"/>
        <w:gridCol w:w="972"/>
        <w:gridCol w:w="972"/>
        <w:gridCol w:w="529"/>
        <w:gridCol w:w="443"/>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采样点位</w:t>
            </w:r>
          </w:p>
        </w:tc>
        <w:tc>
          <w:tcPr>
            <w:tcW w:w="1392" w:type="dxa"/>
            <w:gridSpan w:val="2"/>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项目参数</w:t>
            </w:r>
          </w:p>
        </w:tc>
        <w:tc>
          <w:tcPr>
            <w:tcW w:w="1114"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净化设施</w:t>
            </w:r>
          </w:p>
        </w:tc>
        <w:tc>
          <w:tcPr>
            <w:tcW w:w="1947" w:type="dxa"/>
            <w:gridSpan w:val="3"/>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布袋除尘</w:t>
            </w:r>
          </w:p>
        </w:tc>
        <w:tc>
          <w:tcPr>
            <w:tcW w:w="1501"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排气筒高度（m）</w:t>
            </w:r>
          </w:p>
        </w:tc>
        <w:tc>
          <w:tcPr>
            <w:tcW w:w="1417" w:type="dxa"/>
            <w:gridSpan w:val="2"/>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b/>
                <w:bCs/>
                <w:sz w:val="21"/>
                <w:szCs w:val="21"/>
              </w:rPr>
            </w:pPr>
          </w:p>
        </w:tc>
        <w:tc>
          <w:tcPr>
            <w:tcW w:w="1392" w:type="dxa"/>
            <w:gridSpan w:val="2"/>
            <w:vMerge w:val="continue"/>
            <w:vAlign w:val="center"/>
          </w:tcPr>
          <w:p>
            <w:pPr>
              <w:bidi w:val="0"/>
              <w:jc w:val="center"/>
              <w:rPr>
                <w:rFonts w:hint="default" w:ascii="Times New Roman" w:hAnsi="Times New Roman" w:eastAsia="宋体" w:cs="Times New Roman"/>
                <w:b/>
                <w:bCs/>
                <w:sz w:val="21"/>
                <w:szCs w:val="21"/>
              </w:rPr>
            </w:pPr>
          </w:p>
        </w:tc>
        <w:tc>
          <w:tcPr>
            <w:tcW w:w="3061" w:type="dxa"/>
            <w:gridSpan w:val="4"/>
            <w:vAlign w:val="center"/>
          </w:tcPr>
          <w:p>
            <w:pPr>
              <w:bidi w:val="0"/>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2018年</w:t>
            </w:r>
            <w:r>
              <w:rPr>
                <w:rFonts w:hint="default"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月</w:t>
            </w:r>
            <w:r>
              <w:rPr>
                <w:rFonts w:hint="default" w:ascii="Times New Roman" w:hAnsi="Times New Roman" w:eastAsia="宋体" w:cs="Times New Roman"/>
                <w:b/>
                <w:bCs/>
                <w:sz w:val="21"/>
                <w:szCs w:val="21"/>
                <w:lang w:val="en-US" w:eastAsia="zh-CN"/>
              </w:rPr>
              <w:t>26</w:t>
            </w:r>
            <w:r>
              <w:rPr>
                <w:rFonts w:hint="default" w:ascii="Times New Roman" w:hAnsi="Times New Roman" w:eastAsia="宋体" w:cs="Times New Roman"/>
                <w:b/>
                <w:bCs/>
                <w:sz w:val="21"/>
                <w:szCs w:val="21"/>
              </w:rPr>
              <w:t>日</w:t>
            </w:r>
          </w:p>
        </w:tc>
        <w:tc>
          <w:tcPr>
            <w:tcW w:w="2918" w:type="dxa"/>
            <w:gridSpan w:val="4"/>
            <w:vAlign w:val="center"/>
          </w:tcPr>
          <w:p>
            <w:pPr>
              <w:bidi w:val="0"/>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2018年</w:t>
            </w:r>
            <w:r>
              <w:rPr>
                <w:rFonts w:hint="default"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月</w:t>
            </w:r>
            <w:r>
              <w:rPr>
                <w:rFonts w:hint="default" w:ascii="Times New Roman" w:hAnsi="Times New Roman" w:eastAsia="宋体" w:cs="Times New Roman"/>
                <w:b/>
                <w:bCs/>
                <w:sz w:val="21"/>
                <w:szCs w:val="21"/>
                <w:lang w:val="en-US" w:eastAsia="zh-CN"/>
              </w:rPr>
              <w:t>27</w:t>
            </w:r>
            <w:r>
              <w:rPr>
                <w:rFonts w:hint="default" w:ascii="Times New Roman" w:hAnsi="Times New Roman" w:eastAsia="宋体" w:cs="Times New Roman"/>
                <w:b/>
                <w:bCs/>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b/>
                <w:bCs/>
                <w:sz w:val="21"/>
                <w:szCs w:val="21"/>
              </w:rPr>
            </w:pPr>
          </w:p>
        </w:tc>
        <w:tc>
          <w:tcPr>
            <w:tcW w:w="1392" w:type="dxa"/>
            <w:gridSpan w:val="2"/>
            <w:vMerge w:val="continue"/>
            <w:vAlign w:val="center"/>
          </w:tcPr>
          <w:p>
            <w:pPr>
              <w:bidi w:val="0"/>
              <w:jc w:val="center"/>
              <w:rPr>
                <w:rFonts w:hint="default" w:ascii="Times New Roman" w:hAnsi="Times New Roman" w:eastAsia="宋体" w:cs="Times New Roman"/>
                <w:b/>
                <w:bCs/>
                <w:sz w:val="21"/>
                <w:szCs w:val="21"/>
              </w:rPr>
            </w:pPr>
          </w:p>
        </w:tc>
        <w:tc>
          <w:tcPr>
            <w:tcW w:w="1118"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Ⅰ</w:t>
            </w:r>
          </w:p>
        </w:tc>
        <w:tc>
          <w:tcPr>
            <w:tcW w:w="971"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Ⅱ</w:t>
            </w:r>
          </w:p>
        </w:tc>
        <w:tc>
          <w:tcPr>
            <w:tcW w:w="972"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w:t>
            </w:r>
          </w:p>
        </w:tc>
        <w:tc>
          <w:tcPr>
            <w:tcW w:w="972"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Ⅰ</w:t>
            </w:r>
          </w:p>
        </w:tc>
        <w:tc>
          <w:tcPr>
            <w:tcW w:w="972"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Ⅱ</w:t>
            </w:r>
          </w:p>
        </w:tc>
        <w:tc>
          <w:tcPr>
            <w:tcW w:w="974"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restar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处理设施</w:t>
            </w:r>
            <w:r>
              <w:rPr>
                <w:rFonts w:hint="default" w:ascii="Times New Roman" w:hAnsi="Times New Roman" w:eastAsia="宋体" w:cs="Times New Roman"/>
                <w:sz w:val="21"/>
                <w:szCs w:val="21"/>
                <w:lang w:eastAsia="zh-CN"/>
              </w:rPr>
              <w:t>出</w:t>
            </w:r>
            <w:r>
              <w:rPr>
                <w:rFonts w:hint="default" w:ascii="Times New Roman" w:hAnsi="Times New Roman" w:eastAsia="宋体" w:cs="Times New Roman"/>
                <w:sz w:val="21"/>
                <w:szCs w:val="21"/>
              </w:rPr>
              <w:t>口</w:t>
            </w:r>
          </w:p>
        </w:tc>
        <w:tc>
          <w:tcPr>
            <w:tcW w:w="1392" w:type="dxa"/>
            <w:gridSpan w:val="2"/>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标干流量（m³/h）</w:t>
            </w:r>
          </w:p>
        </w:tc>
        <w:tc>
          <w:tcPr>
            <w:tcW w:w="1118" w:type="dxa"/>
            <w:gridSpan w:val="2"/>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3777</w:t>
            </w:r>
          </w:p>
        </w:tc>
        <w:tc>
          <w:tcPr>
            <w:tcW w:w="97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3688</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3621</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3712</w:t>
            </w:r>
          </w:p>
        </w:tc>
        <w:tc>
          <w:tcPr>
            <w:tcW w:w="972"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3663</w:t>
            </w:r>
          </w:p>
        </w:tc>
        <w:tc>
          <w:tcPr>
            <w:tcW w:w="97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sz w:val="21"/>
                <w:szCs w:val="21"/>
              </w:rPr>
            </w:pPr>
          </w:p>
        </w:tc>
        <w:tc>
          <w:tcPr>
            <w:tcW w:w="724" w:type="dxa"/>
            <w:vMerge w:val="restar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颗粒物</w:t>
            </w:r>
          </w:p>
        </w:tc>
        <w:tc>
          <w:tcPr>
            <w:tcW w:w="668"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w:t>
            </w:r>
          </w:p>
        </w:tc>
        <w:tc>
          <w:tcPr>
            <w:tcW w:w="1118" w:type="dxa"/>
            <w:gridSpan w:val="2"/>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w:t>
            </w:r>
          </w:p>
        </w:tc>
        <w:tc>
          <w:tcPr>
            <w:tcW w:w="97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8.8</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8.4</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w:t>
            </w:r>
          </w:p>
        </w:tc>
        <w:tc>
          <w:tcPr>
            <w:tcW w:w="972"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97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1" w:type="dxa"/>
            <w:vMerge w:val="continue"/>
            <w:vAlign w:val="center"/>
          </w:tcPr>
          <w:p>
            <w:pPr>
              <w:bidi w:val="0"/>
              <w:jc w:val="center"/>
              <w:rPr>
                <w:rFonts w:hint="default" w:ascii="Times New Roman" w:hAnsi="Times New Roman" w:eastAsia="宋体" w:cs="Times New Roman"/>
                <w:sz w:val="21"/>
                <w:szCs w:val="21"/>
              </w:rPr>
            </w:pPr>
          </w:p>
        </w:tc>
        <w:tc>
          <w:tcPr>
            <w:tcW w:w="724" w:type="dxa"/>
            <w:vMerge w:val="continue"/>
            <w:vAlign w:val="center"/>
          </w:tcPr>
          <w:p>
            <w:pPr>
              <w:bidi w:val="0"/>
              <w:jc w:val="center"/>
              <w:rPr>
                <w:rFonts w:hint="default" w:ascii="Times New Roman" w:hAnsi="Times New Roman" w:eastAsia="宋体" w:cs="Times New Roman"/>
                <w:sz w:val="21"/>
                <w:szCs w:val="21"/>
              </w:rPr>
            </w:pPr>
          </w:p>
        </w:tc>
        <w:tc>
          <w:tcPr>
            <w:tcW w:w="668"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w:t>
            </w:r>
          </w:p>
        </w:tc>
        <w:tc>
          <w:tcPr>
            <w:tcW w:w="1118" w:type="dxa"/>
            <w:gridSpan w:val="2"/>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0.035</w:t>
            </w:r>
          </w:p>
        </w:tc>
        <w:tc>
          <w:tcPr>
            <w:tcW w:w="97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0.032</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0.030</w:t>
            </w:r>
          </w:p>
        </w:tc>
        <w:tc>
          <w:tcPr>
            <w:tcW w:w="97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0.033</w:t>
            </w:r>
          </w:p>
        </w:tc>
        <w:tc>
          <w:tcPr>
            <w:tcW w:w="972"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0.035</w:t>
            </w:r>
          </w:p>
        </w:tc>
        <w:tc>
          <w:tcPr>
            <w:tcW w:w="974"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43" w:type="dxa"/>
            <w:gridSpan w:val="3"/>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5979" w:type="dxa"/>
            <w:gridSpan w:val="8"/>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C：排放浓度（mg/m³），Q：排放速率（kg/h）</w:t>
            </w:r>
          </w:p>
        </w:tc>
      </w:tr>
    </w:tbl>
    <w:p>
      <w:pPr>
        <w:pStyle w:val="9"/>
        <w:bidi w:val="0"/>
        <w:rPr>
          <w:rFonts w:hint="eastAsia"/>
          <w:lang w:val="en-US" w:eastAsia="zh-CN"/>
        </w:rPr>
      </w:pPr>
      <w:r>
        <w:rPr>
          <w:rFonts w:hint="eastAsia"/>
          <w:lang w:val="en-US" w:eastAsia="zh-CN"/>
        </w:rPr>
        <w:t>根据上表可知，验收监测期间排气筒污染物最大浓度、最大排放速率见下表。</w:t>
      </w:r>
    </w:p>
    <w:p>
      <w:pPr>
        <w:pStyle w:val="13"/>
        <w:bidi w:val="0"/>
        <w:rPr>
          <w:rFonts w:hint="eastAsia"/>
          <w:lang w:val="en-US" w:eastAsia="zh-CN"/>
        </w:rPr>
      </w:pPr>
      <w:r>
        <w:rPr>
          <w:rFonts w:hint="eastAsia"/>
          <w:lang w:val="en-US" w:eastAsia="zh-CN"/>
        </w:rPr>
        <w:t>表9.2-3    最大浓度和最大排放速率一览表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946"/>
        <w:gridCol w:w="1214"/>
        <w:gridCol w:w="1141"/>
        <w:gridCol w:w="1292"/>
        <w:gridCol w:w="1176"/>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排放</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位置</w:t>
            </w:r>
          </w:p>
        </w:tc>
        <w:tc>
          <w:tcPr>
            <w:tcW w:w="946" w:type="dxa"/>
            <w:tcBorders>
              <w:tl2br w:val="nil"/>
              <w:tr2bl w:val="nil"/>
            </w:tcBorders>
            <w:vAlign w:val="center"/>
          </w:tcPr>
          <w:p>
            <w:pPr>
              <w:bidi w:val="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污染物种类</w:t>
            </w:r>
          </w:p>
        </w:tc>
        <w:tc>
          <w:tcPr>
            <w:tcW w:w="1214"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最大</w:t>
            </w:r>
            <w:r>
              <w:rPr>
                <w:rFonts w:hint="default" w:ascii="Times New Roman" w:hAnsi="Times New Roman" w:eastAsia="宋体" w:cs="Times New Roman"/>
                <w:b/>
                <w:bCs/>
                <w:sz w:val="21"/>
                <w:szCs w:val="21"/>
                <w:lang w:eastAsia="zh-CN"/>
              </w:rPr>
              <w:t>排放</w:t>
            </w: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p>
        </w:tc>
        <w:tc>
          <w:tcPr>
            <w:tcW w:w="1141"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最大排放速率（kg/h）</w:t>
            </w:r>
          </w:p>
        </w:tc>
        <w:tc>
          <w:tcPr>
            <w:tcW w:w="1292"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w:t>
            </w:r>
          </w:p>
          <w:p>
            <w:pPr>
              <w:bidi w:val="0"/>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eastAsia" w:ascii="Times New Roman" w:hAnsi="Times New Roman" w:eastAsia="宋体" w:cs="Times New Roman"/>
                <w:b/>
                <w:bCs/>
                <w:sz w:val="21"/>
                <w:szCs w:val="21"/>
                <w:lang w:eastAsia="zh-CN"/>
              </w:rPr>
              <w:t>）</w:t>
            </w:r>
          </w:p>
        </w:tc>
        <w:tc>
          <w:tcPr>
            <w:tcW w:w="1176"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最高允许排放速率（kg/h）</w:t>
            </w:r>
          </w:p>
        </w:tc>
        <w:tc>
          <w:tcPr>
            <w:tcW w:w="1653"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1#排气筒</w:t>
            </w:r>
          </w:p>
        </w:tc>
        <w:tc>
          <w:tcPr>
            <w:tcW w:w="946" w:type="dxa"/>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c>
          <w:tcPr>
            <w:tcW w:w="1214" w:type="dxa"/>
            <w:tcBorders>
              <w:tl2br w:val="nil"/>
              <w:tr2bl w:val="nil"/>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w:t>
            </w:r>
          </w:p>
        </w:tc>
        <w:tc>
          <w:tcPr>
            <w:tcW w:w="1141" w:type="dxa"/>
            <w:tcBorders>
              <w:tl2br w:val="nil"/>
              <w:tr2bl w:val="nil"/>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0.030</w:t>
            </w:r>
          </w:p>
        </w:tc>
        <w:tc>
          <w:tcPr>
            <w:tcW w:w="1292"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176"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53" w:type="dxa"/>
            <w:vMerge w:val="restar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GB4915-2013《水泥工业大气污染物排放标准》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jc w:val="center"/>
        </w:trPr>
        <w:tc>
          <w:tcPr>
            <w:tcW w:w="1100" w:type="dxa"/>
            <w:tcBorders>
              <w:tl2br w:val="nil"/>
              <w:tr2bl w:val="nil"/>
            </w:tcBorders>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#排气筒</w:t>
            </w:r>
          </w:p>
        </w:tc>
        <w:tc>
          <w:tcPr>
            <w:tcW w:w="946"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1214" w:type="dxa"/>
            <w:tcBorders>
              <w:tl2br w:val="nil"/>
              <w:tr2bl w:val="nil"/>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1141" w:type="dxa"/>
            <w:tcBorders>
              <w:tl2br w:val="nil"/>
              <w:tr2bl w:val="nil"/>
            </w:tcBorders>
            <w:vAlign w:val="center"/>
          </w:tcPr>
          <w:p>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c>
          <w:tcPr>
            <w:tcW w:w="1292" w:type="dxa"/>
            <w:tcBorders>
              <w:tl2br w:val="nil"/>
              <w:tr2bl w:val="nil"/>
            </w:tcBorders>
            <w:vAlign w:val="center"/>
          </w:tcPr>
          <w:p>
            <w:pPr>
              <w:bidi w:val="0"/>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10</w:t>
            </w:r>
          </w:p>
        </w:tc>
        <w:tc>
          <w:tcPr>
            <w:tcW w:w="1176"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53" w:type="dxa"/>
            <w:vMerge w:val="continue"/>
            <w:tcBorders>
              <w:tl2br w:val="nil"/>
              <w:tr2bl w:val="nil"/>
            </w:tcBorders>
            <w:vAlign w:val="center"/>
          </w:tcPr>
          <w:p>
            <w:pPr>
              <w:bidi w:val="0"/>
              <w:jc w:val="center"/>
              <w:rPr>
                <w:rFonts w:hint="default" w:ascii="Times New Roman" w:hAnsi="Times New Roman" w:eastAsia="宋体" w:cs="Times New Roman"/>
                <w:sz w:val="21"/>
                <w:szCs w:val="21"/>
                <w:lang w:val="zh-CN" w:eastAsia="zh-CN"/>
              </w:rPr>
            </w:pPr>
          </w:p>
        </w:tc>
      </w:tr>
    </w:tbl>
    <w:p>
      <w:pPr>
        <w:pStyle w:val="9"/>
        <w:bidi w:val="0"/>
        <w:rPr>
          <w:rFonts w:hint="eastAsia"/>
          <w:lang w:val="en-US" w:eastAsia="zh-CN"/>
        </w:rPr>
      </w:pPr>
      <w:r>
        <w:rPr>
          <w:rFonts w:hint="eastAsia"/>
          <w:lang w:val="en-US" w:eastAsia="zh-CN"/>
        </w:rPr>
        <w:t>由上表可知，圆筒料仓顶1#排气筒出口外排颗粒物最大排放浓度、最大排放速率分别</w:t>
      </w:r>
      <w:r>
        <w:rPr>
          <w:rFonts w:hint="eastAsia"/>
          <w:color w:val="auto"/>
          <w:lang w:val="en-US" w:eastAsia="zh-CN"/>
        </w:rPr>
        <w:t>为8.8mg/m</w:t>
      </w:r>
      <w:r>
        <w:rPr>
          <w:rFonts w:hint="eastAsia"/>
          <w:color w:val="auto"/>
          <w:vertAlign w:val="superscript"/>
          <w:lang w:val="en-US" w:eastAsia="zh-CN"/>
        </w:rPr>
        <w:t>3</w:t>
      </w:r>
      <w:r>
        <w:rPr>
          <w:rFonts w:hint="eastAsia"/>
          <w:color w:val="auto"/>
          <w:lang w:val="en-US" w:eastAsia="zh-CN"/>
        </w:rPr>
        <w:t>、0.030kg/h，2#排气筒出口外排颗粒物最大排放浓度、最大排放速率分别为9.5mg/m</w:t>
      </w:r>
      <w:r>
        <w:rPr>
          <w:rFonts w:hint="eastAsia"/>
          <w:color w:val="auto"/>
          <w:vertAlign w:val="superscript"/>
          <w:lang w:val="en-US" w:eastAsia="zh-CN"/>
        </w:rPr>
        <w:t>3</w:t>
      </w:r>
      <w:r>
        <w:rPr>
          <w:rFonts w:hint="eastAsia"/>
          <w:color w:val="auto"/>
          <w:lang w:val="en-US" w:eastAsia="zh-CN"/>
        </w:rPr>
        <w:t>、0.035kg/h，满足GB4915-2013《水泥工业大气污染物排放标准》表2特别排放限值要求，标准值为</w:t>
      </w:r>
      <w:r>
        <w:rPr>
          <w:rFonts w:hint="eastAsia"/>
          <w:lang w:val="en-US" w:eastAsia="zh-CN"/>
        </w:rPr>
        <w:t>最高允许排放浓度10mg/m</w:t>
      </w:r>
      <w:r>
        <w:rPr>
          <w:rFonts w:hint="eastAsia"/>
          <w:vertAlign w:val="superscript"/>
          <w:lang w:val="en-US" w:eastAsia="zh-CN"/>
        </w:rPr>
        <w:t>3</w:t>
      </w:r>
      <w:r>
        <w:rPr>
          <w:rFonts w:hint="eastAsia"/>
          <w:lang w:val="en-US" w:eastAsia="zh-CN"/>
        </w:rPr>
        <w:t>，最高允许排放速率未做规定。</w:t>
      </w:r>
    </w:p>
    <w:p>
      <w:pPr>
        <w:pStyle w:val="9"/>
        <w:bidi w:val="0"/>
        <w:rPr>
          <w:rFonts w:hint="eastAsia"/>
          <w:lang w:val="en-US" w:eastAsia="zh-CN"/>
        </w:rPr>
      </w:pPr>
      <w:r>
        <w:rPr>
          <w:rFonts w:hint="eastAsia"/>
          <w:lang w:val="en-US" w:eastAsia="zh-CN"/>
        </w:rPr>
        <w:t>项目无组织废气监测结果见表9.2-4。</w:t>
      </w: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r>
        <w:rPr>
          <w:rFonts w:hint="eastAsia"/>
          <w:lang w:val="en-US" w:eastAsia="zh-CN"/>
        </w:rPr>
        <w:t>表9.2-3    大气同步检测气象参数一览表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931"/>
        <w:gridCol w:w="1323"/>
        <w:gridCol w:w="1323"/>
        <w:gridCol w:w="1323"/>
        <w:gridCol w:w="1322"/>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06"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采样日期</w:t>
            </w:r>
          </w:p>
        </w:tc>
        <w:tc>
          <w:tcPr>
            <w:tcW w:w="1323"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风速（m/s）</w:t>
            </w:r>
          </w:p>
        </w:tc>
        <w:tc>
          <w:tcPr>
            <w:tcW w:w="1323"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风向</w:t>
            </w:r>
          </w:p>
        </w:tc>
        <w:tc>
          <w:tcPr>
            <w:tcW w:w="1323"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天气状况</w:t>
            </w:r>
          </w:p>
        </w:tc>
        <w:tc>
          <w:tcPr>
            <w:tcW w:w="1322"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气压(kpa)</w:t>
            </w:r>
          </w:p>
        </w:tc>
        <w:tc>
          <w:tcPr>
            <w:tcW w:w="1325"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5" w:type="dxa"/>
            <w:vMerge w:val="restart"/>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val="en-US" w:eastAsia="zh-CN"/>
              </w:rPr>
              <w:t>2018.</w:t>
            </w:r>
            <w:r>
              <w:rPr>
                <w:rFonts w:hint="default"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w:t>
            </w:r>
          </w:p>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26.</w:t>
            </w:r>
          </w:p>
        </w:tc>
        <w:tc>
          <w:tcPr>
            <w:tcW w:w="931"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I</w:t>
            </w:r>
          </w:p>
        </w:tc>
        <w:tc>
          <w:tcPr>
            <w:tcW w:w="1323"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1323"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东南风</w:t>
            </w:r>
          </w:p>
        </w:tc>
        <w:tc>
          <w:tcPr>
            <w:tcW w:w="1323" w:type="dxa"/>
            <w:vMerge w:val="restart"/>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晴</w:t>
            </w:r>
          </w:p>
        </w:tc>
        <w:tc>
          <w:tcPr>
            <w:tcW w:w="132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102.2</w:t>
            </w:r>
          </w:p>
        </w:tc>
        <w:tc>
          <w:tcPr>
            <w:tcW w:w="132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5" w:type="dxa"/>
            <w:vMerge w:val="continue"/>
            <w:vAlign w:val="center"/>
          </w:tcPr>
          <w:p>
            <w:pPr>
              <w:bidi w:val="0"/>
              <w:jc w:val="center"/>
              <w:rPr>
                <w:rFonts w:hint="default" w:ascii="Times New Roman" w:hAnsi="Times New Roman" w:eastAsia="宋体" w:cs="Times New Roman"/>
                <w:sz w:val="21"/>
                <w:szCs w:val="21"/>
              </w:rPr>
            </w:pPr>
          </w:p>
        </w:tc>
        <w:tc>
          <w:tcPr>
            <w:tcW w:w="93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II</w:t>
            </w:r>
          </w:p>
        </w:tc>
        <w:tc>
          <w:tcPr>
            <w:tcW w:w="1323"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323"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东南风</w:t>
            </w:r>
          </w:p>
        </w:tc>
        <w:tc>
          <w:tcPr>
            <w:tcW w:w="1323" w:type="dxa"/>
            <w:vMerge w:val="continue"/>
            <w:vAlign w:val="center"/>
          </w:tcPr>
          <w:p>
            <w:pPr>
              <w:bidi w:val="0"/>
              <w:jc w:val="center"/>
              <w:rPr>
                <w:rFonts w:hint="default" w:ascii="Times New Roman" w:hAnsi="Times New Roman" w:eastAsia="宋体" w:cs="Times New Roman"/>
                <w:sz w:val="21"/>
                <w:szCs w:val="21"/>
              </w:rPr>
            </w:pPr>
          </w:p>
        </w:tc>
        <w:tc>
          <w:tcPr>
            <w:tcW w:w="132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101.8</w:t>
            </w:r>
          </w:p>
        </w:tc>
        <w:tc>
          <w:tcPr>
            <w:tcW w:w="132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5" w:type="dxa"/>
            <w:vMerge w:val="continue"/>
            <w:vAlign w:val="center"/>
          </w:tcPr>
          <w:p>
            <w:pPr>
              <w:bidi w:val="0"/>
              <w:jc w:val="center"/>
              <w:rPr>
                <w:rFonts w:hint="default" w:ascii="Times New Roman" w:hAnsi="Times New Roman" w:eastAsia="宋体" w:cs="Times New Roman"/>
                <w:sz w:val="21"/>
                <w:szCs w:val="21"/>
              </w:rPr>
            </w:pPr>
          </w:p>
        </w:tc>
        <w:tc>
          <w:tcPr>
            <w:tcW w:w="931"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III</w:t>
            </w:r>
          </w:p>
        </w:tc>
        <w:tc>
          <w:tcPr>
            <w:tcW w:w="1323"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323"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东南风</w:t>
            </w:r>
          </w:p>
        </w:tc>
        <w:tc>
          <w:tcPr>
            <w:tcW w:w="1323" w:type="dxa"/>
            <w:vMerge w:val="continue"/>
            <w:vAlign w:val="center"/>
          </w:tcPr>
          <w:p>
            <w:pPr>
              <w:bidi w:val="0"/>
              <w:jc w:val="center"/>
              <w:rPr>
                <w:rFonts w:hint="default" w:ascii="Times New Roman" w:hAnsi="Times New Roman" w:eastAsia="宋体" w:cs="Times New Roman"/>
                <w:sz w:val="21"/>
                <w:szCs w:val="21"/>
              </w:rPr>
            </w:pPr>
          </w:p>
        </w:tc>
        <w:tc>
          <w:tcPr>
            <w:tcW w:w="132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102.0</w:t>
            </w:r>
          </w:p>
        </w:tc>
        <w:tc>
          <w:tcPr>
            <w:tcW w:w="132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5" w:type="dxa"/>
            <w:vMerge w:val="restart"/>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val="en-US" w:eastAsia="zh-CN"/>
              </w:rPr>
              <w:t>2018.</w:t>
            </w:r>
            <w:r>
              <w:rPr>
                <w:rFonts w:hint="default"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w:t>
            </w:r>
          </w:p>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27</w:t>
            </w:r>
          </w:p>
        </w:tc>
        <w:tc>
          <w:tcPr>
            <w:tcW w:w="931"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I</w:t>
            </w:r>
          </w:p>
        </w:tc>
        <w:tc>
          <w:tcPr>
            <w:tcW w:w="1323"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323" w:type="dxa"/>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东南风</w:t>
            </w:r>
          </w:p>
        </w:tc>
        <w:tc>
          <w:tcPr>
            <w:tcW w:w="1323" w:type="dxa"/>
            <w:vMerge w:val="restart"/>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晴</w:t>
            </w:r>
          </w:p>
        </w:tc>
        <w:tc>
          <w:tcPr>
            <w:tcW w:w="132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102.1</w:t>
            </w:r>
          </w:p>
        </w:tc>
        <w:tc>
          <w:tcPr>
            <w:tcW w:w="132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5" w:type="dxa"/>
            <w:vMerge w:val="continue"/>
            <w:vAlign w:val="center"/>
          </w:tcPr>
          <w:p>
            <w:pPr>
              <w:bidi w:val="0"/>
              <w:jc w:val="center"/>
              <w:rPr>
                <w:rFonts w:hint="default" w:ascii="Times New Roman" w:hAnsi="Times New Roman" w:eastAsia="宋体" w:cs="Times New Roman"/>
                <w:sz w:val="21"/>
                <w:szCs w:val="21"/>
              </w:rPr>
            </w:pPr>
          </w:p>
        </w:tc>
        <w:tc>
          <w:tcPr>
            <w:tcW w:w="931"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highlight w:val="none"/>
                <w:lang w:val="en-US" w:eastAsia="zh-CN"/>
              </w:rPr>
              <w:t>II</w:t>
            </w:r>
          </w:p>
        </w:tc>
        <w:tc>
          <w:tcPr>
            <w:tcW w:w="1323"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1323"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东南风</w:t>
            </w:r>
          </w:p>
        </w:tc>
        <w:tc>
          <w:tcPr>
            <w:tcW w:w="1323" w:type="dxa"/>
            <w:vMerge w:val="continue"/>
            <w:vAlign w:val="center"/>
          </w:tcPr>
          <w:p>
            <w:pPr>
              <w:bidi w:val="0"/>
              <w:jc w:val="center"/>
              <w:rPr>
                <w:rFonts w:hint="default" w:ascii="Times New Roman" w:hAnsi="Times New Roman" w:eastAsia="宋体" w:cs="Times New Roman"/>
                <w:sz w:val="21"/>
                <w:szCs w:val="21"/>
              </w:rPr>
            </w:pPr>
          </w:p>
        </w:tc>
        <w:tc>
          <w:tcPr>
            <w:tcW w:w="132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102.0</w:t>
            </w:r>
          </w:p>
        </w:tc>
        <w:tc>
          <w:tcPr>
            <w:tcW w:w="132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75" w:type="dxa"/>
            <w:vMerge w:val="continue"/>
            <w:vAlign w:val="center"/>
          </w:tcPr>
          <w:p>
            <w:pPr>
              <w:bidi w:val="0"/>
              <w:jc w:val="center"/>
              <w:rPr>
                <w:rFonts w:hint="default" w:ascii="Times New Roman" w:hAnsi="Times New Roman" w:eastAsia="宋体" w:cs="Times New Roman"/>
                <w:sz w:val="21"/>
                <w:szCs w:val="21"/>
              </w:rPr>
            </w:pPr>
          </w:p>
        </w:tc>
        <w:tc>
          <w:tcPr>
            <w:tcW w:w="931"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highlight w:val="none"/>
                <w:lang w:val="en-US" w:eastAsia="zh-CN"/>
              </w:rPr>
              <w:t>III</w:t>
            </w:r>
          </w:p>
        </w:tc>
        <w:tc>
          <w:tcPr>
            <w:tcW w:w="1323"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323"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东南风</w:t>
            </w:r>
          </w:p>
        </w:tc>
        <w:tc>
          <w:tcPr>
            <w:tcW w:w="1323" w:type="dxa"/>
            <w:vMerge w:val="continue"/>
            <w:vAlign w:val="center"/>
          </w:tcPr>
          <w:p>
            <w:pPr>
              <w:bidi w:val="0"/>
              <w:jc w:val="center"/>
              <w:rPr>
                <w:rFonts w:hint="default" w:ascii="Times New Roman" w:hAnsi="Times New Roman" w:eastAsia="宋体" w:cs="Times New Roman"/>
                <w:sz w:val="21"/>
                <w:szCs w:val="21"/>
              </w:rPr>
            </w:pPr>
          </w:p>
        </w:tc>
        <w:tc>
          <w:tcPr>
            <w:tcW w:w="1322"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101.7</w:t>
            </w:r>
          </w:p>
        </w:tc>
        <w:tc>
          <w:tcPr>
            <w:tcW w:w="1325"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10.7</w:t>
            </w:r>
          </w:p>
        </w:tc>
      </w:tr>
    </w:tbl>
    <w:p>
      <w:pPr>
        <w:pStyle w:val="13"/>
        <w:bidi w:val="0"/>
        <w:rPr>
          <w:rFonts w:hint="default"/>
          <w:lang w:val="en-US" w:eastAsia="zh-CN"/>
        </w:rPr>
      </w:pPr>
      <w:r>
        <w:rPr>
          <w:rFonts w:hint="eastAsia"/>
          <w:lang w:val="en-US" w:eastAsia="zh-CN"/>
        </w:rPr>
        <w:t>表9.2-4    无组织废气检测结果一览表  单位：mg/m</w:t>
      </w:r>
      <w:r>
        <w:rPr>
          <w:rFonts w:hint="eastAsia"/>
          <w:vertAlign w:val="superscript"/>
          <w:lang w:val="en-US" w:eastAsia="zh-CN"/>
        </w:rPr>
        <w:t>3</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873"/>
        <w:gridCol w:w="1075"/>
        <w:gridCol w:w="989"/>
        <w:gridCol w:w="1398"/>
        <w:gridCol w:w="1398"/>
        <w:gridCol w:w="1398"/>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1075"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采样时间</w:t>
            </w:r>
          </w:p>
        </w:tc>
        <w:tc>
          <w:tcPr>
            <w:tcW w:w="989"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频次</w:t>
            </w:r>
          </w:p>
        </w:tc>
        <w:tc>
          <w:tcPr>
            <w:tcW w:w="5585" w:type="dxa"/>
            <w:gridSpan w:val="4"/>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continue"/>
            <w:vAlign w:val="center"/>
          </w:tcPr>
          <w:p>
            <w:pPr>
              <w:bidi w:val="0"/>
              <w:jc w:val="center"/>
              <w:rPr>
                <w:rFonts w:hint="default" w:ascii="Times New Roman" w:hAnsi="Times New Roman" w:eastAsia="宋体" w:cs="Times New Roman"/>
                <w:b/>
                <w:bCs/>
                <w:sz w:val="21"/>
                <w:szCs w:val="21"/>
              </w:rPr>
            </w:pPr>
          </w:p>
        </w:tc>
        <w:tc>
          <w:tcPr>
            <w:tcW w:w="1075" w:type="dxa"/>
            <w:vMerge w:val="continue"/>
            <w:vAlign w:val="center"/>
          </w:tcPr>
          <w:p>
            <w:pPr>
              <w:bidi w:val="0"/>
              <w:jc w:val="center"/>
              <w:rPr>
                <w:rFonts w:hint="default" w:ascii="Times New Roman" w:hAnsi="Times New Roman" w:eastAsia="宋体" w:cs="Times New Roman"/>
                <w:b/>
                <w:bCs/>
                <w:sz w:val="21"/>
                <w:szCs w:val="21"/>
              </w:rPr>
            </w:pPr>
          </w:p>
        </w:tc>
        <w:tc>
          <w:tcPr>
            <w:tcW w:w="989" w:type="dxa"/>
            <w:vMerge w:val="continue"/>
            <w:vAlign w:val="center"/>
          </w:tcPr>
          <w:p>
            <w:pPr>
              <w:bidi w:val="0"/>
              <w:jc w:val="center"/>
              <w:rPr>
                <w:rFonts w:hint="default" w:ascii="Times New Roman" w:hAnsi="Times New Roman" w:eastAsia="宋体" w:cs="Times New Roman"/>
                <w:b/>
                <w:bCs/>
                <w:sz w:val="21"/>
                <w:szCs w:val="21"/>
              </w:rPr>
            </w:pPr>
          </w:p>
        </w:tc>
        <w:tc>
          <w:tcPr>
            <w:tcW w:w="1398"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上风向G1</w:t>
            </w:r>
          </w:p>
        </w:tc>
        <w:tc>
          <w:tcPr>
            <w:tcW w:w="1398"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下风向G2</w:t>
            </w:r>
          </w:p>
        </w:tc>
        <w:tc>
          <w:tcPr>
            <w:tcW w:w="1398"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下风向G3</w:t>
            </w:r>
          </w:p>
        </w:tc>
        <w:tc>
          <w:tcPr>
            <w:tcW w:w="1391"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下风向G4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restar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1075" w:type="dxa"/>
            <w:vMerge w:val="restart"/>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val="en-US" w:eastAsia="zh-CN"/>
              </w:rPr>
              <w:t>2018.</w:t>
            </w:r>
            <w:r>
              <w:rPr>
                <w:rFonts w:hint="default"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w:t>
            </w:r>
          </w:p>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26.</w:t>
            </w:r>
          </w:p>
        </w:tc>
        <w:tc>
          <w:tcPr>
            <w:tcW w:w="989" w:type="dxa"/>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I</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0.152</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0.174</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0.168</w:t>
            </w:r>
          </w:p>
        </w:tc>
        <w:tc>
          <w:tcPr>
            <w:tcW w:w="139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continue"/>
            <w:vAlign w:val="center"/>
          </w:tcPr>
          <w:p>
            <w:pPr>
              <w:bidi w:val="0"/>
              <w:jc w:val="center"/>
              <w:rPr>
                <w:rFonts w:hint="default" w:ascii="Times New Roman" w:hAnsi="Times New Roman" w:eastAsia="宋体" w:cs="Times New Roman"/>
                <w:sz w:val="21"/>
                <w:szCs w:val="21"/>
              </w:rPr>
            </w:pPr>
          </w:p>
        </w:tc>
        <w:tc>
          <w:tcPr>
            <w:tcW w:w="1075" w:type="dxa"/>
            <w:vMerge w:val="continue"/>
            <w:vAlign w:val="center"/>
          </w:tcPr>
          <w:p>
            <w:pPr>
              <w:bidi w:val="0"/>
              <w:jc w:val="center"/>
              <w:rPr>
                <w:rFonts w:hint="default" w:ascii="Times New Roman" w:hAnsi="Times New Roman" w:eastAsia="宋体" w:cs="Times New Roman"/>
                <w:color w:val="auto"/>
                <w:sz w:val="21"/>
                <w:szCs w:val="21"/>
              </w:rPr>
            </w:pPr>
          </w:p>
        </w:tc>
        <w:tc>
          <w:tcPr>
            <w:tcW w:w="989" w:type="dxa"/>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II</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0.156</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0.181</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0.174</w:t>
            </w:r>
          </w:p>
        </w:tc>
        <w:tc>
          <w:tcPr>
            <w:tcW w:w="139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continue"/>
            <w:vAlign w:val="center"/>
          </w:tcPr>
          <w:p>
            <w:pPr>
              <w:bidi w:val="0"/>
              <w:jc w:val="center"/>
              <w:rPr>
                <w:rFonts w:hint="default" w:ascii="Times New Roman" w:hAnsi="Times New Roman" w:eastAsia="宋体" w:cs="Times New Roman"/>
                <w:sz w:val="21"/>
                <w:szCs w:val="21"/>
              </w:rPr>
            </w:pPr>
          </w:p>
        </w:tc>
        <w:tc>
          <w:tcPr>
            <w:tcW w:w="1075" w:type="dxa"/>
            <w:vMerge w:val="continue"/>
            <w:vAlign w:val="center"/>
          </w:tcPr>
          <w:p>
            <w:pPr>
              <w:bidi w:val="0"/>
              <w:jc w:val="center"/>
              <w:rPr>
                <w:rFonts w:hint="default" w:ascii="Times New Roman" w:hAnsi="Times New Roman" w:eastAsia="宋体" w:cs="Times New Roman"/>
                <w:color w:val="auto"/>
                <w:sz w:val="21"/>
                <w:szCs w:val="21"/>
              </w:rPr>
            </w:pPr>
          </w:p>
        </w:tc>
        <w:tc>
          <w:tcPr>
            <w:tcW w:w="989" w:type="dxa"/>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III</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0.147</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0.169</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0.161</w:t>
            </w:r>
          </w:p>
        </w:tc>
        <w:tc>
          <w:tcPr>
            <w:tcW w:w="139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continue"/>
            <w:vAlign w:val="center"/>
          </w:tcPr>
          <w:p>
            <w:pPr>
              <w:bidi w:val="0"/>
              <w:jc w:val="center"/>
              <w:rPr>
                <w:rFonts w:hint="default" w:ascii="Times New Roman" w:hAnsi="Times New Roman" w:eastAsia="宋体" w:cs="Times New Roman"/>
                <w:sz w:val="21"/>
                <w:szCs w:val="21"/>
              </w:rPr>
            </w:pPr>
          </w:p>
        </w:tc>
        <w:tc>
          <w:tcPr>
            <w:tcW w:w="1075" w:type="dxa"/>
            <w:vMerge w:val="restart"/>
            <w:vAlign w:val="center"/>
          </w:tcPr>
          <w:p>
            <w:pPr>
              <w:bidi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sz w:val="21"/>
                <w:szCs w:val="21"/>
                <w:lang w:val="en-US" w:eastAsia="zh-CN"/>
              </w:rPr>
              <w:t>2018.</w:t>
            </w:r>
            <w:r>
              <w:rPr>
                <w:rFonts w:hint="default"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w:t>
            </w:r>
          </w:p>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27</w:t>
            </w:r>
          </w:p>
        </w:tc>
        <w:tc>
          <w:tcPr>
            <w:tcW w:w="989" w:type="dxa"/>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I</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0.155</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0.177</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0.182</w:t>
            </w:r>
          </w:p>
        </w:tc>
        <w:tc>
          <w:tcPr>
            <w:tcW w:w="139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continue"/>
            <w:vAlign w:val="center"/>
          </w:tcPr>
          <w:p>
            <w:pPr>
              <w:bidi w:val="0"/>
              <w:jc w:val="center"/>
              <w:rPr>
                <w:rFonts w:hint="default" w:ascii="Times New Roman" w:hAnsi="Times New Roman" w:eastAsia="宋体" w:cs="Times New Roman"/>
                <w:sz w:val="21"/>
                <w:szCs w:val="21"/>
              </w:rPr>
            </w:pPr>
          </w:p>
        </w:tc>
        <w:tc>
          <w:tcPr>
            <w:tcW w:w="1075" w:type="dxa"/>
            <w:vMerge w:val="continue"/>
            <w:vAlign w:val="center"/>
          </w:tcPr>
          <w:p>
            <w:pPr>
              <w:bidi w:val="0"/>
              <w:jc w:val="center"/>
              <w:rPr>
                <w:rFonts w:hint="default" w:ascii="Times New Roman" w:hAnsi="Times New Roman" w:eastAsia="宋体" w:cs="Times New Roman"/>
                <w:color w:val="auto"/>
                <w:sz w:val="21"/>
                <w:szCs w:val="21"/>
              </w:rPr>
            </w:pPr>
          </w:p>
        </w:tc>
        <w:tc>
          <w:tcPr>
            <w:tcW w:w="989" w:type="dxa"/>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II</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0.151</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0.170</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0.175</w:t>
            </w:r>
          </w:p>
        </w:tc>
        <w:tc>
          <w:tcPr>
            <w:tcW w:w="139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Ex>
        <w:trPr>
          <w:trHeight w:val="397" w:hRule="atLeast"/>
          <w:jc w:val="center"/>
        </w:trPr>
        <w:tc>
          <w:tcPr>
            <w:tcW w:w="873" w:type="dxa"/>
            <w:vMerge w:val="continue"/>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w:t>
            </w:r>
          </w:p>
        </w:tc>
        <w:tc>
          <w:tcPr>
            <w:tcW w:w="1075" w:type="dxa"/>
            <w:vMerge w:val="continue"/>
            <w:vAlign w:val="center"/>
          </w:tcPr>
          <w:p>
            <w:pPr>
              <w:bidi w:val="0"/>
              <w:jc w:val="center"/>
              <w:rPr>
                <w:rFonts w:hint="default" w:ascii="Times New Roman" w:hAnsi="Times New Roman" w:eastAsia="宋体" w:cs="Times New Roman"/>
                <w:color w:val="auto"/>
                <w:sz w:val="21"/>
                <w:szCs w:val="21"/>
              </w:rPr>
            </w:pPr>
          </w:p>
        </w:tc>
        <w:tc>
          <w:tcPr>
            <w:tcW w:w="989" w:type="dxa"/>
            <w:vAlign w:val="center"/>
          </w:tcPr>
          <w:p>
            <w:pPr>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III</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0.160</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0.185</w:t>
            </w:r>
          </w:p>
        </w:tc>
        <w:tc>
          <w:tcPr>
            <w:tcW w:w="139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0.179</w:t>
            </w:r>
          </w:p>
        </w:tc>
        <w:tc>
          <w:tcPr>
            <w:tcW w:w="1391"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0.171</w:t>
            </w:r>
          </w:p>
        </w:tc>
      </w:tr>
    </w:tbl>
    <w:p>
      <w:pPr>
        <w:pStyle w:val="9"/>
        <w:bidi w:val="0"/>
        <w:rPr>
          <w:rFonts w:hint="default"/>
          <w:lang w:val="en-US" w:eastAsia="zh-CN"/>
        </w:rPr>
      </w:pPr>
      <w:r>
        <w:rPr>
          <w:rFonts w:hint="eastAsia"/>
          <w:lang w:val="en-US" w:eastAsia="zh-CN"/>
        </w:rPr>
        <w:t>由上表知，验收监测期间厂界外上风向参照点颗粒物最低浓度为0.147mg/m</w:t>
      </w:r>
      <w:r>
        <w:rPr>
          <w:rFonts w:hint="eastAsia"/>
          <w:vertAlign w:val="superscript"/>
          <w:lang w:val="en-US" w:eastAsia="zh-CN"/>
        </w:rPr>
        <w:t>3</w:t>
      </w:r>
      <w:r>
        <w:rPr>
          <w:rFonts w:hint="eastAsia"/>
          <w:vertAlign w:val="baseline"/>
          <w:lang w:val="en-US" w:eastAsia="zh-CN"/>
        </w:rPr>
        <w:t>，下风向监控点与参照点颗粒物1小时浓度值的差值最大为0.038</w:t>
      </w:r>
      <w:r>
        <w:rPr>
          <w:rFonts w:hint="eastAsia"/>
          <w:lang w:val="en-US" w:eastAsia="zh-CN"/>
        </w:rPr>
        <w:t>mg/m</w:t>
      </w:r>
      <w:r>
        <w:rPr>
          <w:rFonts w:hint="eastAsia"/>
          <w:vertAlign w:val="superscript"/>
          <w:lang w:val="en-US" w:eastAsia="zh-CN"/>
        </w:rPr>
        <w:t>3</w:t>
      </w:r>
      <w:r>
        <w:rPr>
          <w:rFonts w:hint="eastAsia"/>
          <w:vertAlign w:val="baseline"/>
          <w:lang w:val="en-US" w:eastAsia="zh-CN"/>
        </w:rPr>
        <w:t>，</w:t>
      </w:r>
      <w:r>
        <w:rPr>
          <w:rFonts w:hint="eastAsia"/>
          <w:lang w:val="en-US" w:eastAsia="zh-CN"/>
        </w:rPr>
        <w:t>满足GB4915-2013《水泥工业大气污染物排放标准》无组织排放监控浓度限值，标准值为监控点与参照点颗粒物</w:t>
      </w:r>
      <w:r>
        <w:rPr>
          <w:rFonts w:hint="eastAsia"/>
          <w:vertAlign w:val="baseline"/>
          <w:lang w:val="en-US" w:eastAsia="zh-CN"/>
        </w:rPr>
        <w:t>1小时浓度值的差值限值为0.5</w:t>
      </w:r>
      <w:r>
        <w:rPr>
          <w:rFonts w:hint="eastAsia"/>
          <w:lang w:val="en-US" w:eastAsia="zh-CN"/>
        </w:rPr>
        <w:t>mg/m</w:t>
      </w:r>
      <w:r>
        <w:rPr>
          <w:rFonts w:hint="eastAsia"/>
          <w:vertAlign w:val="superscript"/>
          <w:lang w:val="en-US" w:eastAsia="zh-CN"/>
        </w:rPr>
        <w:t>3</w:t>
      </w:r>
      <w:r>
        <w:rPr>
          <w:rFonts w:hint="eastAsia"/>
          <w:lang w:val="en-US" w:eastAsia="zh-CN"/>
        </w:rPr>
        <w:t>。</w:t>
      </w:r>
    </w:p>
    <w:p>
      <w:pPr>
        <w:pStyle w:val="18"/>
        <w:bidi w:val="0"/>
        <w:rPr>
          <w:rFonts w:hint="eastAsia"/>
          <w:lang w:val="en-US" w:eastAsia="zh-CN"/>
        </w:rPr>
      </w:pPr>
      <w:r>
        <w:rPr>
          <w:rFonts w:hint="eastAsia"/>
          <w:lang w:val="en-US" w:eastAsia="zh-CN"/>
        </w:rPr>
        <w:t>9.2.2.2 废水</w:t>
      </w:r>
    </w:p>
    <w:p>
      <w:pPr>
        <w:pStyle w:val="9"/>
        <w:bidi w:val="0"/>
        <w:rPr>
          <w:rFonts w:hint="eastAsia"/>
          <w:lang w:val="en-US" w:eastAsia="zh-CN"/>
        </w:rPr>
      </w:pPr>
      <w:r>
        <w:rPr>
          <w:rFonts w:hint="eastAsia"/>
          <w:lang w:val="en-US" w:eastAsia="zh-CN"/>
        </w:rPr>
        <w:t>项目区产生的废水主要包括设备冲洗废水和职工生活污水，设备冲洗废水由砂石分离机和沉淀池处理后回用，不外排；职工生活污水经化粪池预处理后接入凤庆路市政污水管网，达到蔡田铺污水处理厂接管标准和GB8978-1996《污水综合排放标准》中三级标准后，进入蔡田铺污水处理厂进行处理，达标后排入板桥河。为考核项目废水达标排放情况，本次验收监测在污水总排口设置1个监测点。监测结果见下表。</w:t>
      </w: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p>
    <w:p>
      <w:pPr>
        <w:pStyle w:val="13"/>
        <w:bidi w:val="0"/>
        <w:rPr>
          <w:rFonts w:hint="eastAsia"/>
          <w:lang w:val="en-US" w:eastAsia="zh-CN"/>
        </w:rPr>
      </w:pPr>
      <w:r>
        <w:rPr>
          <w:rFonts w:hint="eastAsia"/>
          <w:lang w:val="en-US" w:eastAsia="zh-CN"/>
        </w:rPr>
        <w:t>表9.2-5    废水监测结果统计一览表  单位：mg/L</w:t>
      </w:r>
    </w:p>
    <w:tbl>
      <w:tblPr>
        <w:tblStyle w:val="10"/>
        <w:tblW w:w="8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50"/>
        <w:gridCol w:w="950"/>
        <w:gridCol w:w="1127"/>
        <w:gridCol w:w="1127"/>
        <w:gridCol w:w="1127"/>
        <w:gridCol w:w="1127"/>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w:t>
            </w:r>
            <w:r>
              <w:rPr>
                <w:rFonts w:hint="default" w:ascii="Times New Roman" w:hAnsi="Times New Roman" w:eastAsia="宋体" w:cs="Times New Roman"/>
                <w:b/>
                <w:bCs/>
                <w:sz w:val="21"/>
                <w:szCs w:val="21"/>
                <w:lang w:val="en-US" w:eastAsia="zh-CN"/>
              </w:rPr>
              <w:t>点位</w:t>
            </w:r>
          </w:p>
        </w:tc>
        <w:tc>
          <w:tcPr>
            <w:tcW w:w="1900"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w:t>
            </w:r>
            <w:r>
              <w:rPr>
                <w:rFonts w:hint="default" w:ascii="Times New Roman" w:hAnsi="Times New Roman" w:eastAsia="宋体" w:cs="Times New Roman"/>
                <w:b/>
                <w:bCs/>
                <w:sz w:val="21"/>
                <w:szCs w:val="21"/>
                <w:lang w:val="en-US" w:eastAsia="zh-CN"/>
              </w:rPr>
              <w:t>时间</w:t>
            </w:r>
          </w:p>
        </w:tc>
        <w:tc>
          <w:tcPr>
            <w:tcW w:w="1127"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pH</w:t>
            </w:r>
          </w:p>
        </w:tc>
        <w:tc>
          <w:tcPr>
            <w:tcW w:w="1127"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COD</w:t>
            </w:r>
          </w:p>
        </w:tc>
        <w:tc>
          <w:tcPr>
            <w:tcW w:w="1127"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BOD</w:t>
            </w:r>
            <w:r>
              <w:rPr>
                <w:rFonts w:hint="eastAsia" w:ascii="Times New Roman" w:hAnsi="Times New Roman" w:eastAsia="宋体" w:cs="Times New Roman"/>
                <w:b/>
                <w:bCs/>
                <w:sz w:val="21"/>
                <w:szCs w:val="21"/>
                <w:vertAlign w:val="subscript"/>
                <w:lang w:val="en-US" w:eastAsia="zh-CN"/>
              </w:rPr>
              <w:t>5</w:t>
            </w:r>
          </w:p>
        </w:tc>
        <w:tc>
          <w:tcPr>
            <w:tcW w:w="1127"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SS</w:t>
            </w:r>
          </w:p>
        </w:tc>
        <w:tc>
          <w:tcPr>
            <w:tcW w:w="1127" w:type="dxa"/>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厂区总排口</w:t>
            </w:r>
          </w:p>
        </w:tc>
        <w:tc>
          <w:tcPr>
            <w:tcW w:w="950"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w:t>
            </w:r>
            <w:r>
              <w:rPr>
                <w:rFonts w:hint="eastAsia" w:ascii="Times New Roman" w:hAnsi="Times New Roman" w:eastAsia="宋体" w:cs="Times New Roman"/>
                <w:sz w:val="21"/>
                <w:szCs w:val="21"/>
                <w:lang w:val="en-US" w:eastAsia="zh-CN"/>
              </w:rPr>
              <w:t>8.11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26</w:t>
            </w: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I</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7.17</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174</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71.2</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II</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7.22</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168</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III</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7.14</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171</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69.3</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IV</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177</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71.7</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172.5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70.175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56.25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lang w:val="en-US" w:eastAsia="zh-CN"/>
              </w:rPr>
            </w:pPr>
          </w:p>
        </w:tc>
        <w:tc>
          <w:tcPr>
            <w:tcW w:w="950" w:type="dxa"/>
            <w:vMerge w:val="restar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w:t>
            </w:r>
            <w:r>
              <w:rPr>
                <w:rFonts w:hint="eastAsia" w:ascii="Times New Roman" w:hAnsi="Times New Roman" w:eastAsia="宋体" w:cs="Times New Roman"/>
                <w:sz w:val="21"/>
                <w:szCs w:val="21"/>
                <w:lang w:val="en-US" w:eastAsia="zh-CN"/>
              </w:rPr>
              <w:t>8.11.</w:t>
            </w:r>
            <w:r>
              <w:rPr>
                <w:rFonts w:hint="default"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val="en-US" w:eastAsia="zh-CN"/>
              </w:rPr>
              <w:t>7</w:t>
            </w: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I</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68.1</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II</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7.18</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170</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68.9</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64</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III</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7.12</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172</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69.8</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IV</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7.11</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169</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70.7</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bidi w:val="0"/>
              <w:jc w:val="center"/>
              <w:rPr>
                <w:rFonts w:hint="default" w:ascii="Times New Roman" w:hAnsi="Times New Roman" w:eastAsia="宋体" w:cs="Times New Roman"/>
                <w:sz w:val="21"/>
                <w:szCs w:val="21"/>
              </w:rPr>
            </w:pPr>
          </w:p>
        </w:tc>
        <w:tc>
          <w:tcPr>
            <w:tcW w:w="950" w:type="dxa"/>
            <w:vMerge w:val="continue"/>
            <w:vAlign w:val="center"/>
          </w:tcPr>
          <w:p>
            <w:pPr>
              <w:bidi w:val="0"/>
              <w:jc w:val="center"/>
              <w:rPr>
                <w:rFonts w:hint="default" w:ascii="Times New Roman" w:hAnsi="Times New Roman" w:eastAsia="宋体" w:cs="Times New Roman"/>
                <w:sz w:val="21"/>
                <w:szCs w:val="21"/>
              </w:rPr>
            </w:pPr>
          </w:p>
        </w:tc>
        <w:tc>
          <w:tcPr>
            <w:tcW w:w="95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169</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69.375</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88" w:type="dxa"/>
            <w:gridSpan w:val="3"/>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标准值</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420</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180</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88" w:type="dxa"/>
            <w:gridSpan w:val="3"/>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达标情况</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127"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bl>
    <w:p>
      <w:pPr>
        <w:pStyle w:val="9"/>
        <w:bidi w:val="0"/>
        <w:rPr>
          <w:rFonts w:hint="eastAsia"/>
          <w:lang w:val="en-US" w:eastAsia="zh-CN"/>
        </w:rPr>
      </w:pPr>
      <w:r>
        <w:rPr>
          <w:rFonts w:hint="eastAsia"/>
          <w:lang w:val="en-US" w:eastAsia="zh-CN"/>
        </w:rPr>
        <w:t>由表9.2-5可知，验收监测期间，项目污水总排口处废水pH范围为7.14~7.22、7.11~7.18；COD日均浓度分别为172.5mg/L、169mg/L；BOD</w:t>
      </w:r>
      <w:r>
        <w:rPr>
          <w:rFonts w:hint="eastAsia"/>
          <w:vertAlign w:val="subscript"/>
          <w:lang w:val="en-US" w:eastAsia="zh-CN"/>
        </w:rPr>
        <w:t>5</w:t>
      </w:r>
      <w:r>
        <w:rPr>
          <w:rFonts w:hint="eastAsia"/>
          <w:lang w:val="en-US" w:eastAsia="zh-CN"/>
        </w:rPr>
        <w:t>日均浓度分别为70.175mg/L、69.375mg/L；SS日均浓度分别为56.25mg/L、61mg/L；氨氮日均浓度分别为7.2025mg/L、7.4175mg/L；均满足蔡田铺污水处理厂接管标准和GB8978-1996《污水综合排放标准》中三级排放标准要求。</w:t>
      </w:r>
    </w:p>
    <w:p>
      <w:pPr>
        <w:pStyle w:val="18"/>
        <w:bidi w:val="0"/>
        <w:rPr>
          <w:rFonts w:hint="eastAsia"/>
          <w:lang w:val="en-US" w:eastAsia="zh-CN"/>
        </w:rPr>
      </w:pPr>
      <w:r>
        <w:rPr>
          <w:rFonts w:hint="eastAsia"/>
          <w:lang w:val="en-US" w:eastAsia="zh-CN"/>
        </w:rPr>
        <w:t>9.2.2.3 厂界噪声</w:t>
      </w:r>
    </w:p>
    <w:p>
      <w:pPr>
        <w:pStyle w:val="9"/>
        <w:bidi w:val="0"/>
        <w:rPr>
          <w:rFonts w:hint="eastAsia"/>
          <w:lang w:val="en-US" w:eastAsia="zh-CN"/>
        </w:rPr>
      </w:pPr>
      <w:r>
        <w:rPr>
          <w:rFonts w:hint="eastAsia"/>
          <w:lang w:val="en-US" w:eastAsia="zh-CN"/>
        </w:rPr>
        <w:t>本次验收监测于2018年11月26日~27日对项目厂界进行了昼、夜间噪声监测，结果见表9.2-6。</w:t>
      </w:r>
    </w:p>
    <w:p>
      <w:pPr>
        <w:pStyle w:val="13"/>
        <w:bidi w:val="0"/>
        <w:rPr>
          <w:rFonts w:hint="eastAsia"/>
          <w:lang w:val="en-US" w:eastAsia="zh-CN"/>
        </w:rPr>
      </w:pPr>
      <w:r>
        <w:rPr>
          <w:rFonts w:hint="eastAsia"/>
          <w:lang w:val="en-US" w:eastAsia="zh-CN"/>
        </w:rPr>
        <w:t>表9.2-6    噪声检测结果一览表   单位：dB（A）</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260"/>
        <w:gridCol w:w="1478"/>
        <w:gridCol w:w="1477"/>
        <w:gridCol w:w="1"/>
        <w:gridCol w:w="1477"/>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349"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监测位置</w:t>
            </w:r>
          </w:p>
        </w:tc>
        <w:tc>
          <w:tcPr>
            <w:tcW w:w="1260" w:type="dxa"/>
            <w:vMerge w:val="restar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测点号</w:t>
            </w:r>
          </w:p>
        </w:tc>
        <w:tc>
          <w:tcPr>
            <w:tcW w:w="5913" w:type="dxa"/>
            <w:gridSpan w:val="5"/>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349" w:type="dxa"/>
            <w:vMerge w:val="continue"/>
            <w:vAlign w:val="center"/>
          </w:tcPr>
          <w:p>
            <w:pPr>
              <w:bidi w:val="0"/>
              <w:jc w:val="center"/>
              <w:rPr>
                <w:rFonts w:hint="default" w:ascii="Times New Roman" w:hAnsi="Times New Roman" w:eastAsia="宋体" w:cs="Times New Roman"/>
                <w:b/>
                <w:bCs/>
                <w:sz w:val="21"/>
                <w:szCs w:val="21"/>
              </w:rPr>
            </w:pPr>
          </w:p>
        </w:tc>
        <w:tc>
          <w:tcPr>
            <w:tcW w:w="1260" w:type="dxa"/>
            <w:vMerge w:val="continue"/>
            <w:vAlign w:val="center"/>
          </w:tcPr>
          <w:p>
            <w:pPr>
              <w:bidi w:val="0"/>
              <w:jc w:val="center"/>
              <w:rPr>
                <w:rFonts w:hint="default" w:ascii="Times New Roman" w:hAnsi="Times New Roman" w:eastAsia="宋体" w:cs="Times New Roman"/>
                <w:b/>
                <w:bCs/>
                <w:sz w:val="21"/>
                <w:szCs w:val="21"/>
              </w:rPr>
            </w:pPr>
          </w:p>
        </w:tc>
        <w:tc>
          <w:tcPr>
            <w:tcW w:w="2956" w:type="dxa"/>
            <w:gridSpan w:val="3"/>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2018年</w:t>
            </w:r>
            <w:r>
              <w:rPr>
                <w:rFonts w:hint="default"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月</w:t>
            </w:r>
            <w:r>
              <w:rPr>
                <w:rFonts w:hint="default" w:ascii="Times New Roman" w:hAnsi="Times New Roman" w:eastAsia="宋体" w:cs="Times New Roman"/>
                <w:b/>
                <w:bCs/>
                <w:sz w:val="21"/>
                <w:szCs w:val="21"/>
                <w:lang w:val="en-US" w:eastAsia="zh-CN"/>
              </w:rPr>
              <w:t>26</w:t>
            </w:r>
            <w:r>
              <w:rPr>
                <w:rFonts w:hint="default" w:ascii="Times New Roman" w:hAnsi="Times New Roman" w:eastAsia="宋体" w:cs="Times New Roman"/>
                <w:b/>
                <w:bCs/>
                <w:sz w:val="21"/>
                <w:szCs w:val="21"/>
              </w:rPr>
              <w:t>日</w:t>
            </w:r>
          </w:p>
        </w:tc>
        <w:tc>
          <w:tcPr>
            <w:tcW w:w="2957"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2018年</w:t>
            </w:r>
            <w:r>
              <w:rPr>
                <w:rFonts w:hint="default"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月</w:t>
            </w:r>
            <w:r>
              <w:rPr>
                <w:rFonts w:hint="default" w:ascii="Times New Roman" w:hAnsi="Times New Roman" w:eastAsia="宋体" w:cs="Times New Roman"/>
                <w:b/>
                <w:bCs/>
                <w:sz w:val="21"/>
                <w:szCs w:val="21"/>
                <w:lang w:val="en-US" w:eastAsia="zh-CN"/>
              </w:rPr>
              <w:t>27</w:t>
            </w:r>
            <w:r>
              <w:rPr>
                <w:rFonts w:hint="default" w:ascii="Times New Roman" w:hAnsi="Times New Roman" w:eastAsia="宋体" w:cs="Times New Roman"/>
                <w:b/>
                <w:bCs/>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349" w:type="dxa"/>
            <w:vMerge w:val="continue"/>
            <w:vAlign w:val="center"/>
          </w:tcPr>
          <w:p>
            <w:pPr>
              <w:bidi w:val="0"/>
              <w:jc w:val="center"/>
              <w:rPr>
                <w:rFonts w:hint="default" w:ascii="Times New Roman" w:hAnsi="Times New Roman" w:eastAsia="宋体" w:cs="Times New Roman"/>
                <w:b/>
                <w:bCs/>
                <w:sz w:val="21"/>
                <w:szCs w:val="21"/>
              </w:rPr>
            </w:pPr>
          </w:p>
        </w:tc>
        <w:tc>
          <w:tcPr>
            <w:tcW w:w="1260" w:type="dxa"/>
            <w:vMerge w:val="continue"/>
            <w:vAlign w:val="center"/>
          </w:tcPr>
          <w:p>
            <w:pPr>
              <w:bidi w:val="0"/>
              <w:jc w:val="center"/>
              <w:rPr>
                <w:rFonts w:hint="default" w:ascii="Times New Roman" w:hAnsi="Times New Roman" w:eastAsia="宋体" w:cs="Times New Roman"/>
                <w:b/>
                <w:bCs/>
                <w:sz w:val="21"/>
                <w:szCs w:val="21"/>
              </w:rPr>
            </w:pPr>
          </w:p>
        </w:tc>
        <w:tc>
          <w:tcPr>
            <w:tcW w:w="1478"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昼间Leq</w:t>
            </w:r>
          </w:p>
        </w:tc>
        <w:tc>
          <w:tcPr>
            <w:tcW w:w="1477"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夜间Leq</w:t>
            </w:r>
          </w:p>
        </w:tc>
        <w:tc>
          <w:tcPr>
            <w:tcW w:w="1478" w:type="dxa"/>
            <w:gridSpan w:val="2"/>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昼间Leq</w:t>
            </w:r>
          </w:p>
        </w:tc>
        <w:tc>
          <w:tcPr>
            <w:tcW w:w="1480"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349"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东厂界</w:t>
            </w:r>
          </w:p>
        </w:tc>
        <w:tc>
          <w:tcPr>
            <w:tcW w:w="1260"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w:t>
            </w:r>
          </w:p>
        </w:tc>
        <w:tc>
          <w:tcPr>
            <w:tcW w:w="147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54.2</w:t>
            </w:r>
          </w:p>
        </w:tc>
        <w:tc>
          <w:tcPr>
            <w:tcW w:w="1477"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46.2</w:t>
            </w:r>
          </w:p>
        </w:tc>
        <w:tc>
          <w:tcPr>
            <w:tcW w:w="1478"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55.7</w:t>
            </w:r>
          </w:p>
        </w:tc>
        <w:tc>
          <w:tcPr>
            <w:tcW w:w="1480"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349"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南厂界</w:t>
            </w:r>
          </w:p>
        </w:tc>
        <w:tc>
          <w:tcPr>
            <w:tcW w:w="1260"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▲N2</w:t>
            </w:r>
          </w:p>
        </w:tc>
        <w:tc>
          <w:tcPr>
            <w:tcW w:w="147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55.0</w:t>
            </w:r>
          </w:p>
        </w:tc>
        <w:tc>
          <w:tcPr>
            <w:tcW w:w="1477"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47.6</w:t>
            </w:r>
          </w:p>
        </w:tc>
        <w:tc>
          <w:tcPr>
            <w:tcW w:w="1478"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56.0</w:t>
            </w:r>
          </w:p>
        </w:tc>
        <w:tc>
          <w:tcPr>
            <w:tcW w:w="1480"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349"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西厂界</w:t>
            </w:r>
          </w:p>
        </w:tc>
        <w:tc>
          <w:tcPr>
            <w:tcW w:w="1260"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▲N3</w:t>
            </w:r>
          </w:p>
        </w:tc>
        <w:tc>
          <w:tcPr>
            <w:tcW w:w="147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56.7</w:t>
            </w:r>
          </w:p>
        </w:tc>
        <w:tc>
          <w:tcPr>
            <w:tcW w:w="1477"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47.4</w:t>
            </w:r>
          </w:p>
        </w:tc>
        <w:tc>
          <w:tcPr>
            <w:tcW w:w="1478"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56.2</w:t>
            </w:r>
          </w:p>
        </w:tc>
        <w:tc>
          <w:tcPr>
            <w:tcW w:w="1480"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349"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北厂界</w:t>
            </w:r>
          </w:p>
        </w:tc>
        <w:tc>
          <w:tcPr>
            <w:tcW w:w="1260"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▲N4</w:t>
            </w:r>
          </w:p>
        </w:tc>
        <w:tc>
          <w:tcPr>
            <w:tcW w:w="1478"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56.2</w:t>
            </w:r>
          </w:p>
        </w:tc>
        <w:tc>
          <w:tcPr>
            <w:tcW w:w="1477"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47.0</w:t>
            </w:r>
          </w:p>
        </w:tc>
        <w:tc>
          <w:tcPr>
            <w:tcW w:w="1478" w:type="dxa"/>
            <w:gridSpan w:val="2"/>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56.5</w:t>
            </w:r>
          </w:p>
        </w:tc>
        <w:tc>
          <w:tcPr>
            <w:tcW w:w="1480" w:type="dxa"/>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47.4</w:t>
            </w:r>
          </w:p>
        </w:tc>
      </w:tr>
    </w:tbl>
    <w:p>
      <w:pPr>
        <w:pStyle w:val="9"/>
        <w:bidi w:val="0"/>
        <w:rPr>
          <w:rFonts w:hint="default"/>
          <w:lang w:val="en-US" w:eastAsia="zh-CN"/>
        </w:rPr>
      </w:pPr>
      <w:r>
        <w:rPr>
          <w:rFonts w:hint="eastAsia"/>
          <w:lang w:val="en-US" w:eastAsia="zh-CN"/>
        </w:rPr>
        <w:t>由表9.2-6可知，验收监测期间，厂界噪声昼间最大值为56.7dB（A），夜间最大值为47.6dB（A），噪声满足GB12348-2008《工业企业厂界环境噪声排放标准》中3类标准要求。</w:t>
      </w: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37" w:name="_Toc4982"/>
      <w:r>
        <w:rPr>
          <w:rFonts w:hint="eastAsia"/>
          <w:sz w:val="30"/>
          <w:szCs w:val="30"/>
          <w:lang w:val="en-US" w:eastAsia="zh-CN"/>
        </w:rPr>
        <w:t>十、环境管理检查</w:t>
      </w:r>
      <w:bookmarkEnd w:id="37"/>
    </w:p>
    <w:p>
      <w:pPr>
        <w:pStyle w:val="16"/>
        <w:bidi w:val="0"/>
        <w:rPr>
          <w:rFonts w:hint="eastAsia"/>
          <w:sz w:val="24"/>
          <w:szCs w:val="22"/>
          <w:lang w:val="en-US" w:eastAsia="zh-CN"/>
        </w:rPr>
      </w:pPr>
      <w:bookmarkStart w:id="38" w:name="_Toc4656"/>
      <w:r>
        <w:rPr>
          <w:rFonts w:hint="eastAsia"/>
          <w:sz w:val="24"/>
          <w:szCs w:val="22"/>
          <w:lang w:val="en-US" w:eastAsia="zh-CN"/>
        </w:rPr>
        <w:t>10.1 环保审批手续及“三同时”执行情况</w:t>
      </w:r>
      <w:bookmarkEnd w:id="38"/>
    </w:p>
    <w:p>
      <w:pPr>
        <w:pStyle w:val="9"/>
        <w:bidi w:val="0"/>
        <w:rPr>
          <w:rFonts w:hint="eastAsia"/>
          <w:lang w:val="en-US" w:eastAsia="zh-CN"/>
        </w:rPr>
      </w:pPr>
      <w:r>
        <w:rPr>
          <w:rFonts w:hint="eastAsia"/>
          <w:lang w:val="en-US" w:eastAsia="zh-CN"/>
        </w:rPr>
        <w:t>公司在项目建设中基本履行了有关报批手续，执行了国家环境保护管理的有关规定，环评报告表及审批意见中要求建设的污染防治设施基本得到落实。工程保证了在建成投运时，环保治理设施也同时投入运行。</w:t>
      </w:r>
    </w:p>
    <w:p>
      <w:pPr>
        <w:pStyle w:val="16"/>
        <w:bidi w:val="0"/>
        <w:rPr>
          <w:rFonts w:hint="eastAsia"/>
          <w:sz w:val="24"/>
          <w:szCs w:val="22"/>
          <w:lang w:val="en-US" w:eastAsia="zh-CN"/>
        </w:rPr>
      </w:pPr>
      <w:bookmarkStart w:id="39" w:name="_Toc19028"/>
      <w:r>
        <w:rPr>
          <w:rFonts w:hint="eastAsia"/>
          <w:sz w:val="24"/>
          <w:szCs w:val="22"/>
          <w:lang w:val="en-US" w:eastAsia="zh-CN"/>
        </w:rPr>
        <w:t>10.2 环保管理机构的设置及人员配备</w:t>
      </w:r>
      <w:bookmarkEnd w:id="39"/>
    </w:p>
    <w:p>
      <w:pPr>
        <w:pStyle w:val="9"/>
        <w:bidi w:val="0"/>
        <w:rPr>
          <w:rFonts w:hint="eastAsia"/>
          <w:lang w:val="en-US" w:eastAsia="zh-CN"/>
        </w:rPr>
      </w:pPr>
      <w:r>
        <w:rPr>
          <w:rFonts w:hint="eastAsia"/>
          <w:lang w:val="en-US" w:eastAsia="zh-CN"/>
        </w:rPr>
        <w:t>公司设置综合部为本公司专门的环保管理部门，全面负责本公司环境保护工作面的管理和监测任务，改善公司环境状况，减少公司对周围环境污染，并协助公司与政府环保部门的工作。公司设立环境监督员1名，以强化环境监管，落实企业节约资源，保护环境的责任。</w:t>
      </w:r>
    </w:p>
    <w:p>
      <w:pPr>
        <w:pStyle w:val="16"/>
        <w:bidi w:val="0"/>
        <w:rPr>
          <w:rFonts w:hint="eastAsia"/>
          <w:sz w:val="24"/>
          <w:szCs w:val="22"/>
          <w:lang w:val="en-US" w:eastAsia="zh-CN"/>
        </w:rPr>
      </w:pPr>
      <w:bookmarkStart w:id="40" w:name="_Toc4321"/>
      <w:r>
        <w:rPr>
          <w:rFonts w:hint="eastAsia"/>
          <w:sz w:val="24"/>
          <w:szCs w:val="22"/>
          <w:lang w:val="en-US" w:eastAsia="zh-CN"/>
        </w:rPr>
        <w:t>10.3 环保设施投资</w:t>
      </w:r>
      <w:bookmarkEnd w:id="40"/>
    </w:p>
    <w:p>
      <w:pPr>
        <w:pStyle w:val="9"/>
        <w:bidi w:val="0"/>
        <w:rPr>
          <w:rFonts w:hint="eastAsia"/>
          <w:color w:val="auto"/>
          <w:lang w:val="en-US" w:eastAsia="zh-CN"/>
        </w:rPr>
      </w:pPr>
      <w:r>
        <w:rPr>
          <w:rFonts w:hint="eastAsia"/>
          <w:color w:val="auto"/>
          <w:lang w:val="en-US" w:eastAsia="zh-CN"/>
        </w:rPr>
        <w:t>该项目实际总投资1584万元，其中环保投资270万元，占总投资17.05%。</w:t>
      </w:r>
    </w:p>
    <w:p>
      <w:pPr>
        <w:pStyle w:val="16"/>
        <w:bidi w:val="0"/>
        <w:rPr>
          <w:rFonts w:hint="eastAsia"/>
          <w:sz w:val="24"/>
          <w:szCs w:val="22"/>
          <w:lang w:val="en-US" w:eastAsia="zh-CN"/>
        </w:rPr>
      </w:pPr>
      <w:bookmarkStart w:id="41" w:name="_Toc3197"/>
      <w:r>
        <w:rPr>
          <w:rFonts w:hint="eastAsia"/>
          <w:sz w:val="24"/>
          <w:szCs w:val="22"/>
          <w:lang w:val="en-US" w:eastAsia="zh-CN"/>
        </w:rPr>
        <w:t>10.4 环评及批复要求的落实情况</w:t>
      </w:r>
      <w:bookmarkEnd w:id="41"/>
    </w:p>
    <w:p>
      <w:pPr>
        <w:pStyle w:val="9"/>
        <w:bidi w:val="0"/>
        <w:rPr>
          <w:rFonts w:hint="eastAsia"/>
          <w:lang w:val="en-US" w:eastAsia="zh-CN"/>
        </w:rPr>
      </w:pPr>
      <w:r>
        <w:rPr>
          <w:rFonts w:hint="eastAsia"/>
          <w:lang w:val="en-US" w:eastAsia="zh-CN"/>
        </w:rPr>
        <w:t>环评及批复要求与实际建成情况见表10.4-1。</w:t>
      </w:r>
    </w:p>
    <w:p>
      <w:pPr>
        <w:pStyle w:val="13"/>
        <w:bidi w:val="0"/>
        <w:rPr>
          <w:rFonts w:hint="eastAsia"/>
          <w:lang w:val="en-US" w:eastAsia="zh-CN"/>
        </w:rPr>
      </w:pPr>
      <w:r>
        <w:rPr>
          <w:rFonts w:hint="eastAsia"/>
          <w:lang w:val="en-US" w:eastAsia="zh-CN"/>
        </w:rPr>
        <w:t>表10.4-1    环评批复的落实情况一览表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906"/>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2"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3906"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环评批复要求</w:t>
            </w:r>
          </w:p>
        </w:tc>
        <w:tc>
          <w:tcPr>
            <w:tcW w:w="3894" w:type="dxa"/>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7" w:hRule="atLeast"/>
          <w:jc w:val="center"/>
        </w:trPr>
        <w:tc>
          <w:tcPr>
            <w:tcW w:w="72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w:t>
            </w:r>
          </w:p>
        </w:tc>
        <w:tc>
          <w:tcPr>
            <w:tcW w:w="3906"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施工期生活废水必须经预处理达标后方可外排。营运期</w:t>
            </w:r>
            <w:r>
              <w:rPr>
                <w:rFonts w:hint="default" w:ascii="Times New Roman" w:hAnsi="Times New Roman" w:eastAsia="宋体" w:cs="Times New Roman"/>
                <w:color w:val="auto"/>
                <w:sz w:val="21"/>
                <w:szCs w:val="21"/>
              </w:rPr>
              <w:t>废水纳入蔡田铺污水处理厂处理前，必须经项目自建污水处理站处理达到《污水综合排放标准》（GB8978-1996）一级标准后排入园区市政管网，纳入蔡田铺污水处理厂处理后</w:t>
            </w:r>
            <w:r>
              <w:rPr>
                <w:rFonts w:hint="default" w:ascii="Times New Roman" w:hAnsi="Times New Roman" w:eastAsia="宋体" w:cs="Times New Roman"/>
                <w:color w:val="181BEE"/>
                <w:sz w:val="21"/>
                <w:szCs w:val="21"/>
              </w:rPr>
              <w:t>，</w:t>
            </w:r>
            <w:r>
              <w:rPr>
                <w:rFonts w:hint="default" w:ascii="Times New Roman" w:hAnsi="Times New Roman" w:eastAsia="宋体" w:cs="Times New Roman"/>
                <w:sz w:val="21"/>
                <w:szCs w:val="21"/>
              </w:rPr>
              <w:t>污废水必须经过预处理达到《污水综合排放标准》（GB8978-1996）三级标准后排入园区市政管网。生产废水不许外排，由沉淀池及砂石分离机处理后，回收利用。</w:t>
            </w:r>
          </w:p>
        </w:tc>
        <w:tc>
          <w:tcPr>
            <w:tcW w:w="3894"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已落实；营运期职工生活污水经化粪池预处理</w:t>
            </w:r>
            <w:r>
              <w:rPr>
                <w:rFonts w:hint="default" w:ascii="Times New Roman" w:hAnsi="Times New Roman" w:eastAsia="宋体" w:cs="Times New Roman"/>
                <w:sz w:val="21"/>
                <w:szCs w:val="21"/>
              </w:rPr>
              <w:t>达到《污水综合排放标准》（GB8978-1996）三级标准</w:t>
            </w:r>
            <w:r>
              <w:rPr>
                <w:rFonts w:hint="eastAsia" w:ascii="Times New Roman" w:hAnsi="Times New Roman" w:eastAsia="宋体" w:cs="Times New Roman"/>
                <w:sz w:val="21"/>
                <w:szCs w:val="21"/>
                <w:lang w:eastAsia="zh-CN"/>
              </w:rPr>
              <w:t>及蔡田铺污水处理厂接管标准</w:t>
            </w:r>
            <w:r>
              <w:rPr>
                <w:rFonts w:hint="default" w:ascii="Times New Roman" w:hAnsi="Times New Roman" w:eastAsia="宋体" w:cs="Times New Roman"/>
                <w:sz w:val="21"/>
                <w:szCs w:val="21"/>
              </w:rPr>
              <w:t>后</w:t>
            </w:r>
            <w:r>
              <w:rPr>
                <w:rFonts w:hint="eastAsia" w:ascii="Times New Roman" w:hAnsi="Times New Roman" w:eastAsia="宋体" w:cs="Times New Roman"/>
                <w:sz w:val="21"/>
                <w:szCs w:val="21"/>
                <w:lang w:eastAsia="zh-CN"/>
              </w:rPr>
              <w:t>经</w:t>
            </w:r>
            <w:r>
              <w:rPr>
                <w:rFonts w:hint="default" w:ascii="Times New Roman" w:hAnsi="Times New Roman" w:eastAsia="宋体" w:cs="Times New Roman"/>
                <w:sz w:val="21"/>
                <w:szCs w:val="21"/>
              </w:rPr>
              <w:t>园区市政管网</w:t>
            </w:r>
            <w:r>
              <w:rPr>
                <w:rFonts w:hint="eastAsia" w:ascii="Times New Roman" w:hAnsi="Times New Roman" w:eastAsia="宋体" w:cs="Times New Roman"/>
                <w:sz w:val="21"/>
                <w:szCs w:val="21"/>
                <w:lang w:eastAsia="zh-CN"/>
              </w:rPr>
              <w:t>排入蔡田铺污水处理厂；</w:t>
            </w:r>
            <w:r>
              <w:rPr>
                <w:rFonts w:hint="default" w:ascii="Times New Roman" w:hAnsi="Times New Roman" w:eastAsia="宋体" w:cs="Times New Roman"/>
                <w:sz w:val="21"/>
                <w:szCs w:val="21"/>
              </w:rPr>
              <w:t>生产废水不外排</w:t>
            </w:r>
          </w:p>
          <w:p>
            <w:pPr>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设备冲洗废水经</w:t>
            </w:r>
            <w:r>
              <w:rPr>
                <w:rFonts w:hint="default" w:ascii="Times New Roman" w:hAnsi="Times New Roman" w:eastAsia="宋体" w:cs="Times New Roman"/>
                <w:sz w:val="21"/>
                <w:szCs w:val="21"/>
              </w:rPr>
              <w:t>沉淀池及砂石分离机处理后回收</w:t>
            </w:r>
            <w:r>
              <w:rPr>
                <w:rFonts w:hint="eastAsia" w:ascii="Times New Roman" w:hAnsi="Times New Roman" w:eastAsia="宋体" w:cs="Times New Roman"/>
                <w:sz w:val="21"/>
                <w:szCs w:val="21"/>
                <w:lang w:eastAsia="zh-CN"/>
              </w:rPr>
              <w:t>于生产，保洁废水经保洁废水沉淀池处理后回用于厂区保洁。</w:t>
            </w:r>
            <w:r>
              <w:rPr>
                <w:rFonts w:hint="default" w:ascii="Times New Roman" w:hAnsi="Times New Roman" w:eastAsia="宋体" w:cs="Times New Roman"/>
                <w:sz w:val="21"/>
                <w:szCs w:val="21"/>
                <w:lang w:val="en-US" w:eastAsia="zh-CN"/>
              </w:rPr>
              <w:t>根据验收监测报告，废水排放满足GB8978-1996《污水综合排放标准》中三级排放标准要求</w:t>
            </w: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4" w:hRule="atLeast"/>
          <w:jc w:val="center"/>
        </w:trPr>
        <w:tc>
          <w:tcPr>
            <w:tcW w:w="72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二</w:t>
            </w:r>
          </w:p>
        </w:tc>
        <w:tc>
          <w:tcPr>
            <w:tcW w:w="3906"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食堂炉灶必须使用清洁燃料，安装油烟净化设施，油烟排放执行《饮食业油烟排放标准》（GB18483-2001）规定。</w:t>
            </w:r>
          </w:p>
        </w:tc>
        <w:tc>
          <w:tcPr>
            <w:tcW w:w="3894"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2" w:hRule="atLeast"/>
          <w:jc w:val="center"/>
        </w:trPr>
        <w:tc>
          <w:tcPr>
            <w:tcW w:w="72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三</w:t>
            </w:r>
          </w:p>
        </w:tc>
        <w:tc>
          <w:tcPr>
            <w:tcW w:w="3906"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照环评要求，妥善处理圆筒料仓顶粉尘、下料及料场堆放过程中产生的粉尘，满足《水泥工业大气污染物排放标准》（GB4915-2004）要求。</w:t>
            </w:r>
          </w:p>
        </w:tc>
        <w:tc>
          <w:tcPr>
            <w:tcW w:w="3894"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已落实；</w:t>
            </w:r>
            <w:r>
              <w:rPr>
                <w:rFonts w:hint="default" w:ascii="Times New Roman" w:hAnsi="Times New Roman" w:eastAsia="宋体" w:cs="Times New Roman"/>
                <w:sz w:val="21"/>
                <w:szCs w:val="21"/>
              </w:rPr>
              <w:t>圆筒料仓顶粉尘</w:t>
            </w:r>
            <w:r>
              <w:rPr>
                <w:rFonts w:hint="eastAsia" w:ascii="Times New Roman" w:hAnsi="Times New Roman" w:eastAsia="宋体" w:cs="Times New Roman"/>
                <w:sz w:val="21"/>
                <w:szCs w:val="21"/>
                <w:lang w:eastAsia="zh-CN"/>
              </w:rPr>
              <w:t>由管道收集经脉冲袋式除尘器处理后通过</w:t>
            </w:r>
            <w:r>
              <w:rPr>
                <w:rFonts w:hint="eastAsia" w:ascii="Times New Roman" w:hAnsi="Times New Roman" w:eastAsia="宋体" w:cs="Times New Roman"/>
                <w:sz w:val="21"/>
                <w:szCs w:val="21"/>
                <w:lang w:val="en-US" w:eastAsia="zh-CN"/>
              </w:rPr>
              <w:t>25m排气筒排放；</w:t>
            </w:r>
            <w:r>
              <w:rPr>
                <w:rFonts w:hint="default" w:ascii="Times New Roman" w:hAnsi="Times New Roman" w:eastAsia="宋体" w:cs="Times New Roman"/>
                <w:sz w:val="21"/>
                <w:szCs w:val="21"/>
              </w:rPr>
              <w:t>搅拌主楼下料</w:t>
            </w:r>
            <w:r>
              <w:rPr>
                <w:rFonts w:hint="eastAsia" w:ascii="Times New Roman" w:hAnsi="Times New Roman" w:eastAsia="宋体" w:cs="Times New Roman"/>
                <w:sz w:val="21"/>
                <w:szCs w:val="21"/>
                <w:lang w:eastAsia="zh-CN"/>
              </w:rPr>
              <w:t>粉尘</w:t>
            </w:r>
            <w:r>
              <w:rPr>
                <w:rFonts w:hint="eastAsia" w:ascii="Times New Roman" w:hAnsi="Times New Roman" w:eastAsia="宋体" w:cs="Times New Roman"/>
                <w:sz w:val="21"/>
                <w:szCs w:val="21"/>
                <w:lang w:val="en-US" w:eastAsia="zh-CN"/>
              </w:rPr>
              <w:t>经</w:t>
            </w:r>
            <w:r>
              <w:rPr>
                <w:rFonts w:hint="eastAsia" w:ascii="Times New Roman" w:hAnsi="Times New Roman" w:eastAsia="宋体" w:cs="Times New Roman"/>
                <w:sz w:val="21"/>
                <w:szCs w:val="21"/>
                <w:lang w:eastAsia="zh-CN"/>
              </w:rPr>
              <w:t>脉冲袋式除尘器处理，同时搅拌主楼全封闭、</w:t>
            </w:r>
            <w:r>
              <w:rPr>
                <w:rFonts w:hint="eastAsia" w:ascii="Times New Roman" w:hAnsi="Times New Roman" w:eastAsia="宋体" w:cs="Times New Roman"/>
                <w:sz w:val="21"/>
                <w:szCs w:val="21"/>
                <w:lang w:val="en-US" w:eastAsia="zh-CN"/>
              </w:rPr>
              <w:t>皮带运输机全封闭、料场采用半封闭顶盖、下料区和料场定时喷淋降尘</w:t>
            </w:r>
            <w:r>
              <w:rPr>
                <w:rFonts w:hint="eastAsia" w:ascii="Times New Roman" w:hAnsi="Times New Roman" w:eastAsia="宋体" w:cs="Times New Roman"/>
                <w:sz w:val="21"/>
                <w:szCs w:val="21"/>
                <w:lang w:eastAsia="zh-CN"/>
              </w:rPr>
              <w:t>以减少粉尘无组织排放对周围环境的影响；</w:t>
            </w:r>
            <w:r>
              <w:rPr>
                <w:rFonts w:hint="default" w:ascii="Times New Roman" w:hAnsi="Times New Roman" w:eastAsia="宋体" w:cs="Times New Roman"/>
                <w:sz w:val="21"/>
                <w:szCs w:val="21"/>
                <w:lang w:val="en-US" w:eastAsia="zh-CN"/>
              </w:rPr>
              <w:t>根据验收监测报告，圆筒料仓顶1#排气筒出口外排颗粒物最大排放浓度、最大排放速率分别为8.8mg/m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、0.030kg/h，2#排气筒出口外排颗粒物最大排放浓度、最大排放速率分别为9.5mg/m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、0.035kg/h满足GB4915-2013《水泥工业大气污染物排放标准》表2特别排放限值要求</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zh-CN" w:eastAsia="zh-CN"/>
              </w:rPr>
              <w:t>厂界外上风向参照点颗粒物最大浓度为0.160mg/m</w:t>
            </w:r>
            <w:r>
              <w:rPr>
                <w:rFonts w:hint="default" w:ascii="Times New Roman" w:hAnsi="Times New Roman" w:eastAsia="宋体" w:cs="Times New Roman"/>
                <w:sz w:val="21"/>
                <w:szCs w:val="21"/>
                <w:vertAlign w:val="superscript"/>
                <w:lang w:val="zh-CN" w:eastAsia="zh-CN"/>
              </w:rPr>
              <w:t>3</w:t>
            </w:r>
            <w:r>
              <w:rPr>
                <w:rFonts w:hint="default" w:ascii="Times New Roman" w:hAnsi="Times New Roman" w:eastAsia="宋体" w:cs="Times New Roman"/>
                <w:sz w:val="21"/>
                <w:szCs w:val="21"/>
                <w:lang w:val="zh-CN" w:eastAsia="zh-CN"/>
              </w:rPr>
              <w:t>，下风向监控点与参照点颗粒物1小时浓度值的差值最大为0.025mg/m</w:t>
            </w:r>
            <w:r>
              <w:rPr>
                <w:rFonts w:hint="default" w:ascii="Times New Roman" w:hAnsi="Times New Roman" w:eastAsia="宋体" w:cs="Times New Roman"/>
                <w:sz w:val="21"/>
                <w:szCs w:val="21"/>
                <w:vertAlign w:val="superscript"/>
                <w:lang w:val="zh-CN" w:eastAsia="zh-CN"/>
              </w:rPr>
              <w:t>3</w:t>
            </w:r>
            <w:r>
              <w:rPr>
                <w:rFonts w:hint="default" w:ascii="Times New Roman" w:hAnsi="Times New Roman" w:eastAsia="宋体" w:cs="Times New Roman"/>
                <w:sz w:val="21"/>
                <w:szCs w:val="21"/>
                <w:lang w:val="zh-CN" w:eastAsia="zh-CN"/>
              </w:rPr>
              <w:t>，满足GB4915-2013《水泥工业大气污染物排放标准》无组织排放监控浓度限值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四</w:t>
            </w:r>
          </w:p>
        </w:tc>
        <w:tc>
          <w:tcPr>
            <w:tcW w:w="3906"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加强生产噪声防治措施，确保满足《工业企业厂界噪声标准》（GB12348-90）</w:t>
            </w:r>
            <w:r>
              <w:rPr>
                <w:rFonts w:hint="default" w:ascii="Times New Roman" w:hAnsi="Times New Roman" w:eastAsia="宋体" w:cs="Times New Roman"/>
                <w:sz w:val="21"/>
                <w:szCs w:val="21"/>
                <w:highlight w:val="none"/>
              </w:rPr>
              <w:t>III类</w:t>
            </w:r>
            <w:r>
              <w:rPr>
                <w:rFonts w:hint="default" w:ascii="Times New Roman" w:hAnsi="Times New Roman" w:eastAsia="宋体" w:cs="Times New Roman"/>
                <w:sz w:val="21"/>
                <w:szCs w:val="21"/>
              </w:rPr>
              <w:t>标准。</w:t>
            </w:r>
          </w:p>
        </w:tc>
        <w:tc>
          <w:tcPr>
            <w:tcW w:w="3894" w:type="dxa"/>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已落实；</w:t>
            </w:r>
            <w:r>
              <w:rPr>
                <w:rFonts w:hint="default" w:ascii="Times New Roman" w:hAnsi="Times New Roman" w:eastAsia="宋体" w:cs="Times New Roman"/>
                <w:sz w:val="21"/>
                <w:szCs w:val="21"/>
                <w:lang w:val="en-US" w:eastAsia="zh-CN"/>
              </w:rPr>
              <w:t>根据验收监测报告，项目区四周厂界噪声值均满足GB12348-2008《工业企业厂界环境噪声排放标准》中3类标准要求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五</w:t>
            </w:r>
          </w:p>
        </w:tc>
        <w:tc>
          <w:tcPr>
            <w:tcW w:w="3906"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加强固体废弃物的环境管理，实行分类收集处置。生活垃圾全部纳入环卫部门统一清运处理。</w:t>
            </w:r>
          </w:p>
        </w:tc>
        <w:tc>
          <w:tcPr>
            <w:tcW w:w="3894"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已落实</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固体废弃物实行分类收集处置</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生活垃圾由环卫部门统一清运处理</w:t>
            </w: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六</w:t>
            </w:r>
          </w:p>
        </w:tc>
        <w:tc>
          <w:tcPr>
            <w:tcW w:w="3906"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施工期环境管理，合理组织安排施工，及时清运弃土，采取有效措施防止水土流失和扬尘污染；严格执行《建筑施工厂界噪声限值》（GB12523-90）及《合肥市环境噪声污染防治条例》的有关规定，减少和降低施工机械噪声。</w:t>
            </w:r>
          </w:p>
        </w:tc>
        <w:tc>
          <w:tcPr>
            <w:tcW w:w="3894" w:type="dxa"/>
            <w:vAlign w:val="center"/>
          </w:tcPr>
          <w:p>
            <w:pPr>
              <w:bidi w:val="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2" w:type="dxa"/>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七</w:t>
            </w:r>
          </w:p>
        </w:tc>
        <w:tc>
          <w:tcPr>
            <w:tcW w:w="3906"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其他污染物防治措施必须按照环评要求执行，确保各项污染物稳定达标排放。</w:t>
            </w:r>
          </w:p>
        </w:tc>
        <w:tc>
          <w:tcPr>
            <w:tcW w:w="3894"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已落实。</w:t>
            </w:r>
            <w:r>
              <w:rPr>
                <w:rFonts w:hint="eastAsia" w:ascii="Times New Roman" w:hAnsi="Times New Roman" w:eastAsia="宋体" w:cs="Times New Roman"/>
                <w:sz w:val="21"/>
                <w:szCs w:val="21"/>
                <w:lang w:val="en-US" w:eastAsia="zh-CN"/>
              </w:rPr>
              <w:t>按照环评要求，厂区定期清扫，洒水覆盖，以减少扬尘对周围环境的影响。</w:t>
            </w:r>
          </w:p>
        </w:tc>
      </w:tr>
    </w:tbl>
    <w:p>
      <w:pPr>
        <w:pStyle w:val="9"/>
        <w:bidi w:val="0"/>
        <w:rPr>
          <w:rFonts w:hint="eastAsia"/>
          <w:lang w:val="en-US" w:eastAsia="zh-CN"/>
        </w:rPr>
      </w:pPr>
    </w:p>
    <w:p>
      <w:pPr>
        <w:rPr>
          <w:rFonts w:hint="eastAsia"/>
          <w:lang w:val="en-US" w:eastAsia="zh-CN"/>
        </w:rPr>
      </w:pPr>
      <w:r>
        <w:rPr>
          <w:rFonts w:hint="eastAsia"/>
          <w:lang w:val="en-US" w:eastAsia="zh-CN"/>
        </w:rPr>
        <w:br w:type="page"/>
      </w:r>
    </w:p>
    <w:p>
      <w:pPr>
        <w:pStyle w:val="15"/>
        <w:bidi w:val="0"/>
        <w:rPr>
          <w:rFonts w:hint="eastAsia"/>
          <w:sz w:val="30"/>
          <w:szCs w:val="30"/>
          <w:lang w:val="en-US" w:eastAsia="zh-CN"/>
        </w:rPr>
      </w:pPr>
      <w:bookmarkStart w:id="42" w:name="_Toc5965"/>
      <w:r>
        <w:rPr>
          <w:rFonts w:hint="eastAsia"/>
          <w:sz w:val="30"/>
          <w:szCs w:val="30"/>
          <w:lang w:val="en-US" w:eastAsia="zh-CN"/>
        </w:rPr>
        <w:t>十一、验收监测结论及建议</w:t>
      </w:r>
      <w:bookmarkEnd w:id="42"/>
    </w:p>
    <w:p>
      <w:pPr>
        <w:pStyle w:val="9"/>
        <w:bidi w:val="0"/>
        <w:rPr>
          <w:rFonts w:hint="eastAsia"/>
          <w:lang w:val="en-US" w:eastAsia="zh-CN"/>
        </w:rPr>
      </w:pPr>
      <w:r>
        <w:rPr>
          <w:rFonts w:hint="eastAsia"/>
          <w:lang w:val="en-US" w:eastAsia="zh-CN"/>
        </w:rPr>
        <w:t>合肥东陆混凝土有限公司混凝土生产项目本次验收监测期间供应工况稳定，满足验收监测技术规范要求，各类环保设施运行正常，监测结果具有代表性、完整性、准确性，为此给出如下结论：</w:t>
      </w:r>
    </w:p>
    <w:p>
      <w:pPr>
        <w:pStyle w:val="16"/>
        <w:bidi w:val="0"/>
        <w:rPr>
          <w:rFonts w:hint="eastAsia"/>
          <w:sz w:val="24"/>
          <w:szCs w:val="22"/>
          <w:lang w:val="en-US" w:eastAsia="zh-CN"/>
        </w:rPr>
      </w:pPr>
      <w:bookmarkStart w:id="43" w:name="_Toc31650"/>
      <w:r>
        <w:rPr>
          <w:rFonts w:hint="eastAsia"/>
          <w:sz w:val="24"/>
          <w:szCs w:val="22"/>
          <w:lang w:val="en-US" w:eastAsia="zh-CN"/>
        </w:rPr>
        <w:t>11.1 环保设施调试运行效果</w:t>
      </w:r>
      <w:bookmarkEnd w:id="43"/>
    </w:p>
    <w:p>
      <w:pPr>
        <w:pStyle w:val="17"/>
        <w:bidi w:val="0"/>
        <w:rPr>
          <w:rFonts w:hint="eastAsia"/>
          <w:lang w:val="en-US" w:eastAsia="zh-CN"/>
        </w:rPr>
      </w:pPr>
      <w:r>
        <w:rPr>
          <w:rFonts w:hint="eastAsia"/>
          <w:lang w:val="en-US" w:eastAsia="zh-CN"/>
        </w:rPr>
        <w:t>11.1.1 环保设施处理效率监测结果</w:t>
      </w:r>
    </w:p>
    <w:p>
      <w:pPr>
        <w:pStyle w:val="9"/>
        <w:bidi w:val="0"/>
        <w:rPr>
          <w:rFonts w:hint="eastAsia"/>
          <w:lang w:val="en-US" w:eastAsia="zh-CN"/>
        </w:rPr>
      </w:pPr>
      <w:r>
        <w:rPr>
          <w:rFonts w:hint="eastAsia"/>
          <w:lang w:val="en-US" w:eastAsia="zh-CN"/>
        </w:rPr>
        <w:t>本项目圆筒料</w:t>
      </w:r>
      <w:r>
        <w:rPr>
          <w:rFonts w:hint="eastAsia"/>
          <w:highlight w:val="none"/>
          <w:lang w:val="en-US" w:eastAsia="zh-CN"/>
        </w:rPr>
        <w:t>仓仓</w:t>
      </w:r>
      <w:r>
        <w:rPr>
          <w:rFonts w:hint="eastAsia"/>
          <w:lang w:val="en-US" w:eastAsia="zh-CN"/>
        </w:rPr>
        <w:t>顶粉尘经管道直接收集后通过脉冲袋式除尘器处理，处理后通过25m高排气筒排放；搅拌主楼下料粉尘经管道直接收集后通过脉冲袋式除尘器处理，处理后无组织排放。圆筒料仓顶的脉冲袋式除尘器为直接安装于料仓顶，搅拌主楼的脉冲袋式除尘器前端直管距离过短，均无法设置监测采样点，因此仅对颗粒物排放浓度及速率进行监测。</w:t>
      </w:r>
    </w:p>
    <w:p>
      <w:pPr>
        <w:pStyle w:val="17"/>
        <w:bidi w:val="0"/>
        <w:rPr>
          <w:rFonts w:hint="eastAsia"/>
          <w:lang w:val="en-US" w:eastAsia="zh-CN"/>
        </w:rPr>
      </w:pPr>
      <w:r>
        <w:rPr>
          <w:rFonts w:hint="eastAsia"/>
          <w:lang w:val="en-US" w:eastAsia="zh-CN"/>
        </w:rPr>
        <w:t>11.1.2 污染物排放监测结果</w:t>
      </w:r>
    </w:p>
    <w:p>
      <w:pPr>
        <w:pStyle w:val="9"/>
        <w:bidi w:val="0"/>
        <w:rPr>
          <w:rFonts w:hint="eastAsia"/>
          <w:lang w:val="en-US" w:eastAsia="zh-CN"/>
        </w:rPr>
      </w:pPr>
      <w:r>
        <w:rPr>
          <w:rFonts w:hint="eastAsia"/>
          <w:lang w:val="en-US" w:eastAsia="zh-CN"/>
        </w:rPr>
        <w:t>1、废气</w:t>
      </w:r>
    </w:p>
    <w:p>
      <w:pPr>
        <w:pStyle w:val="9"/>
        <w:bidi w:val="0"/>
        <w:rPr>
          <w:rFonts w:hint="eastAsia"/>
          <w:lang w:val="en-US" w:eastAsia="zh-CN"/>
        </w:rPr>
      </w:pPr>
      <w:r>
        <w:rPr>
          <w:rFonts w:hint="eastAsia"/>
          <w:lang w:val="en-US" w:eastAsia="zh-CN"/>
        </w:rPr>
        <w:t>验收监测期间：圆筒料仓顶1#排气筒出口外排颗粒物最大排放浓度、最大排放速率分别为8.8mg/m</w:t>
      </w:r>
      <w:r>
        <w:rPr>
          <w:rFonts w:hint="eastAsia"/>
          <w:vertAlign w:val="superscript"/>
          <w:lang w:val="en-US" w:eastAsia="zh-CN"/>
        </w:rPr>
        <w:t>3</w:t>
      </w:r>
      <w:r>
        <w:rPr>
          <w:rFonts w:hint="eastAsia"/>
          <w:lang w:val="en-US" w:eastAsia="zh-CN"/>
        </w:rPr>
        <w:t>、0.030kg/h，2#排气筒出口外排颗粒物最大排放浓度、最大排放速率分别为9.5mg/m</w:t>
      </w:r>
      <w:r>
        <w:rPr>
          <w:rFonts w:hint="eastAsia"/>
          <w:vertAlign w:val="superscript"/>
          <w:lang w:val="en-US" w:eastAsia="zh-CN"/>
        </w:rPr>
        <w:t>3</w:t>
      </w:r>
      <w:r>
        <w:rPr>
          <w:rFonts w:hint="eastAsia"/>
          <w:lang w:val="en-US" w:eastAsia="zh-CN"/>
        </w:rPr>
        <w:t>、0.035kg/h，均满足GB4915-2013《水泥工业大气污染物排放标准》表2特别排放限值要求，标准值为最高允许排放浓度10mg/m</w:t>
      </w:r>
      <w:r>
        <w:rPr>
          <w:rFonts w:hint="eastAsia"/>
          <w:vertAlign w:val="superscript"/>
          <w:lang w:val="en-US" w:eastAsia="zh-CN"/>
        </w:rPr>
        <w:t>3</w:t>
      </w:r>
      <w:r>
        <w:rPr>
          <w:rFonts w:hint="eastAsia"/>
          <w:lang w:val="en-US" w:eastAsia="zh-CN"/>
        </w:rPr>
        <w:t>，最高允许排放速率未做规定。</w:t>
      </w:r>
    </w:p>
    <w:p>
      <w:pPr>
        <w:pStyle w:val="9"/>
        <w:bidi w:val="0"/>
        <w:rPr>
          <w:rFonts w:hint="eastAsia"/>
          <w:lang w:val="en-US" w:eastAsia="zh-CN"/>
        </w:rPr>
      </w:pPr>
      <w:r>
        <w:rPr>
          <w:rFonts w:hint="eastAsia"/>
          <w:lang w:val="en-US" w:eastAsia="zh-CN"/>
        </w:rPr>
        <w:t>厂界外上风向参照点颗粒物最大浓度为0.160mg/m</w:t>
      </w:r>
      <w:r>
        <w:rPr>
          <w:rFonts w:hint="eastAsia"/>
          <w:vertAlign w:val="superscript"/>
          <w:lang w:val="en-US" w:eastAsia="zh-CN"/>
        </w:rPr>
        <w:t>3</w:t>
      </w:r>
      <w:r>
        <w:rPr>
          <w:rFonts w:hint="eastAsia"/>
          <w:lang w:val="en-US" w:eastAsia="zh-CN"/>
        </w:rPr>
        <w:t>，下风向监控点与参照点颗粒物1小时浓度值的差值最大为0.025mg/m</w:t>
      </w:r>
      <w:r>
        <w:rPr>
          <w:rFonts w:hint="eastAsia"/>
          <w:vertAlign w:val="superscript"/>
          <w:lang w:val="en-US" w:eastAsia="zh-CN"/>
        </w:rPr>
        <w:t>3</w:t>
      </w:r>
      <w:r>
        <w:rPr>
          <w:rFonts w:hint="eastAsia"/>
          <w:lang w:val="en-US" w:eastAsia="zh-CN"/>
        </w:rPr>
        <w:t>，满足GB4915-2013《水泥工业大气污染物排放标准》无组织排放监控浓度限值，标准值为监控点与参照点颗粒物1小时浓度值的差值限值为0.5mg/m</w:t>
      </w:r>
      <w:r>
        <w:rPr>
          <w:rFonts w:hint="eastAsia"/>
          <w:vertAlign w:val="superscript"/>
          <w:lang w:val="en-US" w:eastAsia="zh-CN"/>
        </w:rPr>
        <w:t>3</w:t>
      </w:r>
      <w:r>
        <w:rPr>
          <w:rFonts w:hint="eastAsia"/>
          <w:lang w:val="en-US" w:eastAsia="zh-CN"/>
        </w:rPr>
        <w:t>。</w:t>
      </w:r>
    </w:p>
    <w:p>
      <w:pPr>
        <w:pStyle w:val="9"/>
        <w:bidi w:val="0"/>
        <w:rPr>
          <w:rFonts w:hint="eastAsia"/>
          <w:lang w:val="en-US" w:eastAsia="zh-CN"/>
        </w:rPr>
      </w:pPr>
      <w:r>
        <w:rPr>
          <w:rFonts w:hint="eastAsia"/>
          <w:lang w:val="en-US" w:eastAsia="zh-CN"/>
        </w:rPr>
        <w:t>2、废水</w:t>
      </w:r>
    </w:p>
    <w:p>
      <w:pPr>
        <w:pStyle w:val="9"/>
        <w:bidi w:val="0"/>
        <w:rPr>
          <w:rFonts w:hint="eastAsia"/>
          <w:lang w:val="en-US" w:eastAsia="zh-CN"/>
        </w:rPr>
      </w:pPr>
      <w:r>
        <w:rPr>
          <w:rFonts w:hint="eastAsia"/>
          <w:lang w:val="en-US" w:eastAsia="zh-CN"/>
        </w:rPr>
        <w:t>验收监测期间：项目污水总排口处废水pH范围为7.14~7.22、7.11~7.18；COD日均浓度分别为172.5mg/L、169mg/L；BOD</w:t>
      </w:r>
      <w:r>
        <w:rPr>
          <w:rFonts w:hint="eastAsia"/>
          <w:vertAlign w:val="subscript"/>
          <w:lang w:val="en-US" w:eastAsia="zh-CN"/>
        </w:rPr>
        <w:t>5</w:t>
      </w:r>
      <w:r>
        <w:rPr>
          <w:rFonts w:hint="eastAsia"/>
          <w:lang w:val="en-US" w:eastAsia="zh-CN"/>
        </w:rPr>
        <w:t>日均浓度分别为70.175mg/L、69.375mg/L；SS日均浓度分别为56.25mg/L、61mg/L；氨氮日均浓度分别为7.2025mg/L、7.4175mg/L，均满足蔡田铺污水处理厂接管标准和GB8978-1996《污水综合排放标准》中三级排放标准要求。</w:t>
      </w:r>
    </w:p>
    <w:p>
      <w:pPr>
        <w:pStyle w:val="9"/>
        <w:bidi w:val="0"/>
        <w:rPr>
          <w:rFonts w:hint="eastAsia"/>
          <w:lang w:val="en-US" w:eastAsia="zh-CN"/>
        </w:rPr>
      </w:pPr>
      <w:r>
        <w:rPr>
          <w:rFonts w:hint="eastAsia"/>
          <w:lang w:val="en-US" w:eastAsia="zh-CN"/>
        </w:rPr>
        <w:t>3、噪声</w:t>
      </w:r>
    </w:p>
    <w:p>
      <w:pPr>
        <w:pStyle w:val="9"/>
        <w:bidi w:val="0"/>
        <w:rPr>
          <w:rFonts w:hint="eastAsia"/>
          <w:lang w:val="en-US" w:eastAsia="zh-CN"/>
        </w:rPr>
      </w:pPr>
      <w:r>
        <w:rPr>
          <w:rFonts w:hint="eastAsia"/>
          <w:lang w:val="en-US" w:eastAsia="zh-CN"/>
        </w:rPr>
        <w:t>验收监测期间：厂界噪声昼间最大值为56.7dB（A），夜间最大值为47.6dB（A），噪声满足GB12348-2008《工业企业厂界环境噪声排放标准》中3类标准要求。</w:t>
      </w:r>
    </w:p>
    <w:p>
      <w:pPr>
        <w:pStyle w:val="9"/>
        <w:bidi w:val="0"/>
        <w:rPr>
          <w:rFonts w:hint="eastAsia"/>
          <w:lang w:val="en-US" w:eastAsia="zh-CN"/>
        </w:rPr>
      </w:pPr>
      <w:r>
        <w:rPr>
          <w:rFonts w:hint="eastAsia"/>
          <w:lang w:val="en-US" w:eastAsia="zh-CN"/>
        </w:rPr>
        <w:t>4、固体废物</w:t>
      </w:r>
    </w:p>
    <w:p>
      <w:pPr>
        <w:pStyle w:val="9"/>
        <w:bidi w:val="0"/>
        <w:rPr>
          <w:rFonts w:hint="eastAsia"/>
          <w:color w:val="auto"/>
          <w:lang w:val="en-US" w:eastAsia="zh-CN"/>
        </w:rPr>
      </w:pPr>
      <w:r>
        <w:rPr>
          <w:rFonts w:hint="eastAsia"/>
          <w:color w:val="auto"/>
          <w:lang w:val="en-US" w:eastAsia="zh-CN"/>
        </w:rPr>
        <w:t>本项目产生的固体废物主要为脉冲袋式除尘器处理的粉尘、沉淀池砂石和职工生活垃圾。除尘器粉尘和沉淀池砂石均集中收集后回用于生产，生活垃圾袋装化，交由环卫部门统一清运处理。</w:t>
      </w:r>
    </w:p>
    <w:p>
      <w:pPr>
        <w:pStyle w:val="9"/>
        <w:bidi w:val="0"/>
        <w:rPr>
          <w:rFonts w:hint="eastAsia"/>
          <w:lang w:val="en-US" w:eastAsia="zh-CN"/>
        </w:rPr>
      </w:pPr>
      <w:r>
        <w:rPr>
          <w:rFonts w:hint="eastAsia"/>
          <w:lang w:val="en-US" w:eastAsia="zh-CN"/>
        </w:rPr>
        <w:t>通过采取以上措施，项目产生的固体废物均得到回收利用或有效处理，不会对项目区外环境产生影响。</w:t>
      </w:r>
    </w:p>
    <w:p>
      <w:pPr>
        <w:pStyle w:val="16"/>
        <w:bidi w:val="0"/>
        <w:rPr>
          <w:rFonts w:hint="eastAsia"/>
          <w:sz w:val="24"/>
          <w:szCs w:val="22"/>
          <w:lang w:val="en-US" w:eastAsia="zh-CN"/>
        </w:rPr>
      </w:pPr>
      <w:bookmarkStart w:id="44" w:name="_Toc1861"/>
      <w:r>
        <w:rPr>
          <w:rFonts w:hint="eastAsia"/>
          <w:sz w:val="24"/>
          <w:szCs w:val="22"/>
          <w:lang w:val="en-US" w:eastAsia="zh-CN"/>
        </w:rPr>
        <w:t>11.2 验收结论</w:t>
      </w:r>
      <w:bookmarkEnd w:id="44"/>
    </w:p>
    <w:p>
      <w:pPr>
        <w:pStyle w:val="9"/>
        <w:bidi w:val="0"/>
        <w:rPr>
          <w:rFonts w:hint="eastAsia"/>
          <w:lang w:val="en-US" w:eastAsia="zh-CN"/>
        </w:rPr>
      </w:pPr>
      <w:r>
        <w:rPr>
          <w:rFonts w:hint="eastAsia"/>
          <w:lang w:val="en-US" w:eastAsia="zh-CN"/>
        </w:rPr>
        <w:t>合肥东陆混凝土有限公司混凝土生产项目环境保护审查、审批手续完备，项目建设过程中总体按照环评及批复的要求落实了污染防治措施，主要污染物达标排放，符合竣工验收条件。</w:t>
      </w:r>
    </w:p>
    <w:p>
      <w:pPr>
        <w:pStyle w:val="9"/>
        <w:bidi w:val="0"/>
        <w:rPr>
          <w:rFonts w:hint="eastAsia"/>
          <w:lang w:val="en-US" w:eastAsia="zh-CN"/>
        </w:rPr>
      </w:pPr>
    </w:p>
    <w:p>
      <w:pPr>
        <w:pStyle w:val="9"/>
        <w:bidi w:val="0"/>
        <w:rPr>
          <w:rFonts w:hint="eastAsia"/>
          <w:lang w:val="en-US" w:eastAsia="zh-CN"/>
        </w:rPr>
      </w:pPr>
    </w:p>
    <w:p>
      <w:pPr>
        <w:rPr>
          <w:rFonts w:hint="eastAsia"/>
          <w:lang w:val="en-US" w:eastAsia="zh-CN"/>
        </w:rPr>
      </w:pPr>
      <w:r>
        <w:rPr>
          <w:rFonts w:hint="eastAsia"/>
          <w:lang w:val="en-US" w:eastAsia="zh-CN"/>
        </w:rPr>
        <w:br w:type="page"/>
      </w:r>
    </w:p>
    <w:p>
      <w:pPr>
        <w:rPr>
          <w:rFonts w:hint="eastAsia"/>
          <w:sz w:val="30"/>
          <w:szCs w:val="30"/>
          <w:lang w:val="en-US" w:eastAsia="zh-CN"/>
        </w:rPr>
      </w:pPr>
      <w:bookmarkStart w:id="45" w:name="_Toc9641"/>
      <w:r>
        <w:rPr>
          <w:rFonts w:hint="eastAsia"/>
          <w:sz w:val="30"/>
          <w:szCs w:val="30"/>
          <w:lang w:val="en-US" w:eastAsia="zh-CN"/>
        </w:rPr>
        <w:br w:type="page"/>
      </w:r>
    </w:p>
    <w:p>
      <w:pPr>
        <w:pStyle w:val="15"/>
        <w:bidi w:val="0"/>
        <w:rPr>
          <w:rFonts w:hint="eastAsia"/>
          <w:sz w:val="30"/>
          <w:szCs w:val="30"/>
          <w:lang w:val="en-US" w:eastAsia="zh-CN"/>
        </w:rPr>
      </w:pPr>
      <w:r>
        <w:rPr>
          <w:rFonts w:hint="eastAsia"/>
          <w:sz w:val="30"/>
          <w:szCs w:val="30"/>
          <w:lang w:val="en-US" w:eastAsia="zh-CN"/>
        </w:rPr>
        <w:t>十二、附件</w:t>
      </w:r>
      <w:bookmarkEnd w:id="45"/>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bookmarkStart w:id="46" w:name="_Toc1285"/>
      <w:r>
        <w:rPr>
          <w:rFonts w:hint="eastAsia"/>
          <w:lang w:val="en-US" w:eastAsia="zh-CN"/>
        </w:rPr>
        <w:drawing>
          <wp:anchor distT="0" distB="0" distL="114300" distR="114300" simplePos="0" relativeHeight="251789312" behindDoc="1" locked="0" layoutInCell="1" allowOverlap="1">
            <wp:simplePos x="0" y="0"/>
            <wp:positionH relativeFrom="column">
              <wp:posOffset>-354330</wp:posOffset>
            </wp:positionH>
            <wp:positionV relativeFrom="paragraph">
              <wp:posOffset>565785</wp:posOffset>
            </wp:positionV>
            <wp:extent cx="6139180" cy="8769985"/>
            <wp:effectExtent l="0" t="0" r="13970" b="12065"/>
            <wp:wrapNone/>
            <wp:docPr id="14" name="图片 14" descr="东陆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东陆批复1"/>
                    <pic:cNvPicPr>
                      <a:picLocks noChangeAspect="1"/>
                    </pic:cNvPicPr>
                  </pic:nvPicPr>
                  <pic:blipFill>
                    <a:blip r:embed="rId43"/>
                    <a:stretch>
                      <a:fillRect/>
                    </a:stretch>
                  </pic:blipFill>
                  <pic:spPr>
                    <a:xfrm>
                      <a:off x="0" y="0"/>
                      <a:ext cx="6139180" cy="8769985"/>
                    </a:xfrm>
                    <a:prstGeom prst="rect">
                      <a:avLst/>
                    </a:prstGeom>
                  </pic:spPr>
                </pic:pic>
              </a:graphicData>
            </a:graphic>
          </wp:anchor>
        </w:drawing>
      </w:r>
      <w:r>
        <w:rPr>
          <w:rFonts w:hint="eastAsia"/>
          <w:lang w:val="en-US" w:eastAsia="zh-CN"/>
        </w:rPr>
        <w:t>附件1：《合肥东陆混凝土有限公司混凝土生产项目环境影响报告表的批复》</w:t>
      </w:r>
      <w:bookmarkEnd w:id="46"/>
    </w:p>
    <w:p>
      <w:pPr>
        <w:bidi w:val="0"/>
        <w:rPr>
          <w:rFonts w:hint="eastAsia"/>
          <w:lang w:val="en-US" w:eastAsia="zh-CN"/>
        </w:rPr>
      </w:pPr>
    </w:p>
    <w:p>
      <w:pPr>
        <w:rPr>
          <w:rFonts w:hint="eastAsia"/>
          <w:lang w:val="en-US" w:eastAsia="zh-CN"/>
        </w:rPr>
      </w:pPr>
      <w:r>
        <w:rPr>
          <w:rFonts w:hint="eastAsia"/>
          <w:lang w:val="en-US" w:eastAsia="zh-CN"/>
        </w:rPr>
        <w:br w:type="page"/>
      </w:r>
    </w:p>
    <w:p>
      <w:pPr>
        <w:rPr>
          <w:rFonts w:hint="eastAsia"/>
          <w:lang w:val="en-US" w:eastAsia="zh-CN"/>
        </w:rPr>
      </w:pPr>
      <w:r>
        <w:rPr>
          <w:rFonts w:hint="eastAsia"/>
          <w:lang w:val="en-US" w:eastAsia="zh-CN"/>
        </w:rPr>
        <w:drawing>
          <wp:anchor distT="0" distB="0" distL="114300" distR="114300" simplePos="0" relativeHeight="251789312" behindDoc="1" locked="0" layoutInCell="1" allowOverlap="1">
            <wp:simplePos x="0" y="0"/>
            <wp:positionH relativeFrom="column">
              <wp:posOffset>-319405</wp:posOffset>
            </wp:positionH>
            <wp:positionV relativeFrom="paragraph">
              <wp:posOffset>177165</wp:posOffset>
            </wp:positionV>
            <wp:extent cx="6118860" cy="8811895"/>
            <wp:effectExtent l="0" t="0" r="15240" b="8255"/>
            <wp:wrapNone/>
            <wp:docPr id="18" name="图片 18" descr="东陆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东陆批复2"/>
                    <pic:cNvPicPr>
                      <a:picLocks noChangeAspect="1"/>
                    </pic:cNvPicPr>
                  </pic:nvPicPr>
                  <pic:blipFill>
                    <a:blip r:embed="rId44"/>
                    <a:stretch>
                      <a:fillRect/>
                    </a:stretch>
                  </pic:blipFill>
                  <pic:spPr>
                    <a:xfrm>
                      <a:off x="0" y="0"/>
                      <a:ext cx="6118860" cy="8811895"/>
                    </a:xfrm>
                    <a:prstGeom prst="rect">
                      <a:avLst/>
                    </a:prstGeom>
                  </pic:spPr>
                </pic:pic>
              </a:graphicData>
            </a:graphic>
          </wp:anchor>
        </w:drawing>
      </w:r>
      <w:r>
        <w:rPr>
          <w:rFonts w:hint="eastAsia"/>
          <w:lang w:val="en-US" w:eastAsia="zh-CN"/>
        </w:rPr>
        <w:br w:type="page"/>
      </w:r>
    </w:p>
    <w:p>
      <w:pPr>
        <w:pStyle w:val="16"/>
        <w:bidi w:val="0"/>
        <w:rPr>
          <w:rFonts w:hint="eastAsia"/>
          <w:lang w:val="en-US" w:eastAsia="zh-CN"/>
        </w:rPr>
      </w:pPr>
      <w:bookmarkStart w:id="47" w:name="_Toc31748"/>
      <w:r>
        <w:rPr>
          <w:rFonts w:hint="eastAsia"/>
          <w:lang w:val="en-US" w:eastAsia="zh-CN"/>
        </w:rPr>
        <w:drawing>
          <wp:anchor distT="0" distB="0" distL="114300" distR="114300" simplePos="0" relativeHeight="251789312" behindDoc="1" locked="0" layoutInCell="1" allowOverlap="1">
            <wp:simplePos x="0" y="0"/>
            <wp:positionH relativeFrom="column">
              <wp:posOffset>-266700</wp:posOffset>
            </wp:positionH>
            <wp:positionV relativeFrom="paragraph">
              <wp:posOffset>468630</wp:posOffset>
            </wp:positionV>
            <wp:extent cx="6134735" cy="8681720"/>
            <wp:effectExtent l="0" t="0" r="18415" b="5080"/>
            <wp:wrapNone/>
            <wp:docPr id="61" name="图片 61" descr="052211504802_0YS11062东陆混凝土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52211504802_0YS11062东陆混凝土_1"/>
                    <pic:cNvPicPr>
                      <a:picLocks noChangeAspect="1"/>
                    </pic:cNvPicPr>
                  </pic:nvPicPr>
                  <pic:blipFill>
                    <a:blip r:embed="rId45"/>
                    <a:stretch>
                      <a:fillRect/>
                    </a:stretch>
                  </pic:blipFill>
                  <pic:spPr>
                    <a:xfrm>
                      <a:off x="0" y="0"/>
                      <a:ext cx="6134735" cy="8681720"/>
                    </a:xfrm>
                    <a:prstGeom prst="rect">
                      <a:avLst/>
                    </a:prstGeom>
                  </pic:spPr>
                </pic:pic>
              </a:graphicData>
            </a:graphic>
          </wp:anchor>
        </w:drawing>
      </w:r>
      <w:r>
        <w:rPr>
          <w:rFonts w:hint="eastAsia"/>
          <w:lang w:val="en-US" w:eastAsia="zh-CN"/>
        </w:rPr>
        <w:t>附件2：合肥东陆混凝土有限公司混凝土生产项目检测报告</w:t>
      </w:r>
      <w:bookmarkEnd w:id="47"/>
    </w:p>
    <w:p>
      <w:pPr>
        <w:rPr>
          <w:rFonts w:hint="eastAsia"/>
          <w:lang w:val="en-US" w:eastAsia="zh-CN"/>
        </w:rPr>
      </w:pPr>
      <w:r>
        <w:rPr>
          <w:rFonts w:hint="eastAsia"/>
          <w:lang w:val="en-US" w:eastAsia="zh-CN"/>
        </w:rPr>
        <w:br w:type="page"/>
      </w:r>
    </w:p>
    <w:p>
      <w:pPr>
        <w:rPr>
          <w:rFonts w:hint="eastAsia"/>
          <w:lang w:val="en-US" w:eastAsia="zh-CN"/>
        </w:rPr>
      </w:pPr>
      <w:r>
        <w:rPr>
          <w:rFonts w:hint="eastAsia"/>
          <w:lang w:val="en-US" w:eastAsia="zh-CN"/>
        </w:rPr>
        <w:drawing>
          <wp:anchor distT="0" distB="0" distL="114300" distR="114300" simplePos="0" relativeHeight="251789312" behindDoc="1" locked="0" layoutInCell="1" allowOverlap="1">
            <wp:simplePos x="0" y="0"/>
            <wp:positionH relativeFrom="column">
              <wp:posOffset>-514350</wp:posOffset>
            </wp:positionH>
            <wp:positionV relativeFrom="paragraph">
              <wp:posOffset>-293370</wp:posOffset>
            </wp:positionV>
            <wp:extent cx="6464935" cy="9149080"/>
            <wp:effectExtent l="0" t="0" r="12065" b="13970"/>
            <wp:wrapNone/>
            <wp:docPr id="62" name="图片 62" descr="052211504802_0YS11062东陆混凝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52211504802_0YS11062东陆混凝土_2"/>
                    <pic:cNvPicPr>
                      <a:picLocks noChangeAspect="1"/>
                    </pic:cNvPicPr>
                  </pic:nvPicPr>
                  <pic:blipFill>
                    <a:blip r:embed="rId46"/>
                    <a:stretch>
                      <a:fillRect/>
                    </a:stretch>
                  </pic:blipFill>
                  <pic:spPr>
                    <a:xfrm>
                      <a:off x="0" y="0"/>
                      <a:ext cx="6464935" cy="9149080"/>
                    </a:xfrm>
                    <a:prstGeom prst="rect">
                      <a:avLst/>
                    </a:prstGeom>
                  </pic:spPr>
                </pic:pic>
              </a:graphicData>
            </a:graphic>
          </wp:anchor>
        </w:drawing>
      </w:r>
      <w:r>
        <w:rPr>
          <w:rFonts w:hint="eastAsia"/>
          <w:lang w:val="en-US" w:eastAsia="zh-CN"/>
        </w:rPr>
        <w:br w:type="page"/>
      </w:r>
    </w:p>
    <w:p>
      <w:pPr>
        <w:rPr>
          <w:rFonts w:hint="eastAsia"/>
          <w:lang w:val="en-US" w:eastAsia="zh-CN"/>
        </w:rPr>
      </w:pPr>
      <w:r>
        <w:rPr>
          <w:rFonts w:hint="eastAsia"/>
          <w:lang w:val="en-US" w:eastAsia="zh-CN"/>
        </w:rPr>
        <w:drawing>
          <wp:anchor distT="0" distB="0" distL="114300" distR="114300" simplePos="0" relativeHeight="251789312" behindDoc="1" locked="0" layoutInCell="1" allowOverlap="1">
            <wp:simplePos x="0" y="0"/>
            <wp:positionH relativeFrom="column">
              <wp:posOffset>-628650</wp:posOffset>
            </wp:positionH>
            <wp:positionV relativeFrom="paragraph">
              <wp:posOffset>-550545</wp:posOffset>
            </wp:positionV>
            <wp:extent cx="6672580" cy="9443720"/>
            <wp:effectExtent l="0" t="0" r="13970" b="5080"/>
            <wp:wrapNone/>
            <wp:docPr id="63" name="图片 63" descr="052211504802_0YS11062东陆混凝土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52211504802_0YS11062东陆混凝土_3"/>
                    <pic:cNvPicPr>
                      <a:picLocks noChangeAspect="1"/>
                    </pic:cNvPicPr>
                  </pic:nvPicPr>
                  <pic:blipFill>
                    <a:blip r:embed="rId47"/>
                    <a:stretch>
                      <a:fillRect/>
                    </a:stretch>
                  </pic:blipFill>
                  <pic:spPr>
                    <a:xfrm>
                      <a:off x="0" y="0"/>
                      <a:ext cx="6672580" cy="9443720"/>
                    </a:xfrm>
                    <a:prstGeom prst="rect">
                      <a:avLst/>
                    </a:prstGeom>
                  </pic:spPr>
                </pic:pic>
              </a:graphicData>
            </a:graphic>
          </wp:anchor>
        </w:drawing>
      </w:r>
      <w:r>
        <w:rPr>
          <w:rFonts w:hint="eastAsia"/>
          <w:lang w:val="en-US" w:eastAsia="zh-CN"/>
        </w:rPr>
        <w:br w:type="page"/>
      </w:r>
    </w:p>
    <w:p>
      <w:pPr>
        <w:rPr>
          <w:rFonts w:hint="eastAsia"/>
          <w:lang w:val="en-US" w:eastAsia="zh-CN"/>
        </w:rPr>
      </w:pPr>
      <w:r>
        <w:rPr>
          <w:rFonts w:hint="eastAsia"/>
          <w:lang w:val="en-US" w:eastAsia="zh-CN"/>
        </w:rPr>
        <w:drawing>
          <wp:anchor distT="0" distB="0" distL="114300" distR="114300" simplePos="0" relativeHeight="251789312" behindDoc="1" locked="0" layoutInCell="1" allowOverlap="1">
            <wp:simplePos x="0" y="0"/>
            <wp:positionH relativeFrom="column">
              <wp:posOffset>-628650</wp:posOffset>
            </wp:positionH>
            <wp:positionV relativeFrom="paragraph">
              <wp:posOffset>-426720</wp:posOffset>
            </wp:positionV>
            <wp:extent cx="6658610" cy="9424670"/>
            <wp:effectExtent l="0" t="0" r="8890" b="5080"/>
            <wp:wrapNone/>
            <wp:docPr id="64" name="图片 64" descr="052211504802_0YS11062东陆混凝土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52211504802_0YS11062东陆混凝土_4"/>
                    <pic:cNvPicPr>
                      <a:picLocks noChangeAspect="1"/>
                    </pic:cNvPicPr>
                  </pic:nvPicPr>
                  <pic:blipFill>
                    <a:blip r:embed="rId48"/>
                    <a:stretch>
                      <a:fillRect/>
                    </a:stretch>
                  </pic:blipFill>
                  <pic:spPr>
                    <a:xfrm>
                      <a:off x="0" y="0"/>
                      <a:ext cx="6658610" cy="9424670"/>
                    </a:xfrm>
                    <a:prstGeom prst="rect">
                      <a:avLst/>
                    </a:prstGeom>
                  </pic:spPr>
                </pic:pic>
              </a:graphicData>
            </a:graphic>
          </wp:anchor>
        </w:drawing>
      </w:r>
      <w:r>
        <w:rPr>
          <w:rFonts w:hint="eastAsia"/>
          <w:lang w:val="en-US" w:eastAsia="zh-CN"/>
        </w:rPr>
        <w:br w:type="page"/>
      </w:r>
    </w:p>
    <w:p>
      <w:pPr>
        <w:bidi w:val="0"/>
        <w:rPr>
          <w:rFonts w:hint="eastAsia"/>
          <w:lang w:val="en-US" w:eastAsia="zh-CN"/>
        </w:rPr>
      </w:pPr>
      <w:r>
        <w:rPr>
          <w:rFonts w:hint="eastAsia"/>
          <w:lang w:val="en-US" w:eastAsia="zh-CN"/>
        </w:rPr>
        <w:drawing>
          <wp:anchor distT="0" distB="0" distL="114300" distR="114300" simplePos="0" relativeHeight="251789312" behindDoc="1" locked="0" layoutInCell="1" allowOverlap="1">
            <wp:simplePos x="0" y="0"/>
            <wp:positionH relativeFrom="column">
              <wp:posOffset>-590550</wp:posOffset>
            </wp:positionH>
            <wp:positionV relativeFrom="paragraph">
              <wp:posOffset>-331470</wp:posOffset>
            </wp:positionV>
            <wp:extent cx="6598920" cy="9338945"/>
            <wp:effectExtent l="0" t="0" r="11430" b="14605"/>
            <wp:wrapNone/>
            <wp:docPr id="65" name="图片 65" descr="052211504802_0YS11062东陆混凝土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52211504802_0YS11062东陆混凝土_5"/>
                    <pic:cNvPicPr>
                      <a:picLocks noChangeAspect="1"/>
                    </pic:cNvPicPr>
                  </pic:nvPicPr>
                  <pic:blipFill>
                    <a:blip r:embed="rId49"/>
                    <a:stretch>
                      <a:fillRect/>
                    </a:stretch>
                  </pic:blipFill>
                  <pic:spPr>
                    <a:xfrm>
                      <a:off x="0" y="0"/>
                      <a:ext cx="6598920" cy="9338945"/>
                    </a:xfrm>
                    <a:prstGeom prst="rect">
                      <a:avLst/>
                    </a:prstGeom>
                  </pic:spPr>
                </pic:pic>
              </a:graphicData>
            </a:graphic>
          </wp:anchor>
        </w:drawing>
      </w:r>
    </w:p>
    <w:p>
      <w:pPr>
        <w:rPr>
          <w:rFonts w:hint="eastAsia"/>
          <w:lang w:val="en-US" w:eastAsia="zh-CN"/>
        </w:rPr>
      </w:pPr>
      <w:r>
        <w:rPr>
          <w:rFonts w:hint="eastAsia"/>
          <w:lang w:val="en-US" w:eastAsia="zh-CN"/>
        </w:rPr>
        <w:br w:type="page"/>
      </w:r>
    </w:p>
    <w:p>
      <w:pPr>
        <w:rPr>
          <w:rFonts w:hint="eastAsia"/>
          <w:lang w:val="en-US" w:eastAsia="zh-CN"/>
        </w:rPr>
      </w:pPr>
      <w:bookmarkStart w:id="48" w:name="_Toc18877"/>
      <w:r>
        <w:rPr>
          <w:rFonts w:hint="eastAsia"/>
          <w:lang w:val="en-US" w:eastAsia="zh-CN"/>
        </w:rPr>
        <w:br w:type="page"/>
      </w:r>
    </w:p>
    <w:p>
      <w:pPr>
        <w:pStyle w:val="16"/>
        <w:bidi w:val="0"/>
        <w:rPr>
          <w:rFonts w:hint="eastAsia"/>
          <w:lang w:val="en-US" w:eastAsia="zh-CN"/>
        </w:rPr>
      </w:pPr>
      <w:r>
        <w:rPr>
          <w:rFonts w:hint="eastAsia"/>
          <w:lang w:val="en-US" w:eastAsia="zh-CN"/>
        </w:rPr>
        <w:drawing>
          <wp:anchor distT="0" distB="0" distL="114300" distR="114300" simplePos="0" relativeHeight="251816960" behindDoc="1" locked="0" layoutInCell="1" allowOverlap="1">
            <wp:simplePos x="0" y="0"/>
            <wp:positionH relativeFrom="column">
              <wp:posOffset>-365125</wp:posOffset>
            </wp:positionH>
            <wp:positionV relativeFrom="paragraph">
              <wp:posOffset>473075</wp:posOffset>
            </wp:positionV>
            <wp:extent cx="6054725" cy="8522970"/>
            <wp:effectExtent l="0" t="0" r="3175" b="11430"/>
            <wp:wrapNone/>
            <wp:docPr id="51" name="图片 51" descr="东陆工况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东陆工况证明"/>
                    <pic:cNvPicPr>
                      <a:picLocks noChangeAspect="1"/>
                    </pic:cNvPicPr>
                  </pic:nvPicPr>
                  <pic:blipFill>
                    <a:blip r:embed="rId50"/>
                    <a:stretch>
                      <a:fillRect/>
                    </a:stretch>
                  </pic:blipFill>
                  <pic:spPr>
                    <a:xfrm>
                      <a:off x="0" y="0"/>
                      <a:ext cx="6054725" cy="8522970"/>
                    </a:xfrm>
                    <a:prstGeom prst="rect">
                      <a:avLst/>
                    </a:prstGeom>
                  </pic:spPr>
                </pic:pic>
              </a:graphicData>
            </a:graphic>
          </wp:anchor>
        </w:drawing>
      </w:r>
      <w:r>
        <w:rPr>
          <w:rFonts w:hint="eastAsia"/>
          <w:lang w:val="en-US" w:eastAsia="zh-CN"/>
        </w:rPr>
        <w:t>附件3：合肥东陆混凝土有限公司混凝土生产项目验收期间工况证明</w:t>
      </w:r>
      <w:bookmarkEnd w:id="48"/>
    </w:p>
    <w:p>
      <w:pPr>
        <w:bidi w:val="0"/>
        <w:rPr>
          <w:rFonts w:hint="eastAsia"/>
          <w:lang w:val="en-US" w:eastAsia="zh-CN"/>
        </w:rPr>
      </w:pPr>
    </w:p>
    <w:p>
      <w:pPr>
        <w:pStyle w:val="9"/>
        <w:bidi w:val="0"/>
        <w:rPr>
          <w:rFonts w:hint="eastAsia"/>
          <w:lang w:val="en-US" w:eastAsia="zh-CN"/>
        </w:rPr>
      </w:pPr>
    </w:p>
    <w:p>
      <w:pPr>
        <w:rPr>
          <w:rFonts w:hint="eastAsia"/>
          <w:lang w:val="en-US" w:eastAsia="zh-CN"/>
        </w:rPr>
      </w:pPr>
      <w:r>
        <w:rPr>
          <w:rFonts w:hint="eastAsia"/>
          <w:lang w:val="en-US" w:eastAsia="zh-CN"/>
        </w:rPr>
        <w:br w:type="page"/>
      </w:r>
    </w:p>
    <w:p>
      <w:pPr>
        <w:rPr>
          <w:rFonts w:hint="eastAsia"/>
          <w:lang w:val="en-US" w:eastAsia="zh-CN"/>
        </w:rPr>
      </w:pPr>
      <w:bookmarkStart w:id="49" w:name="_Toc12964"/>
      <w:r>
        <w:rPr>
          <w:rFonts w:hint="eastAsia"/>
          <w:lang w:val="en-US" w:eastAsia="zh-CN"/>
        </w:rPr>
        <w:br w:type="page"/>
      </w:r>
    </w:p>
    <w:p>
      <w:pPr>
        <w:pStyle w:val="16"/>
        <w:bidi w:val="0"/>
        <w:rPr>
          <w:rFonts w:hint="eastAsia"/>
          <w:lang w:val="en-US" w:eastAsia="zh-CN"/>
        </w:rPr>
      </w:pPr>
      <w:r>
        <w:rPr>
          <w:rFonts w:hint="eastAsia"/>
          <w:lang w:val="en-US" w:eastAsia="zh-CN"/>
        </w:rPr>
        <w:drawing>
          <wp:anchor distT="0" distB="0" distL="114300" distR="114300" simplePos="0" relativeHeight="251820032" behindDoc="1" locked="0" layoutInCell="1" allowOverlap="1">
            <wp:simplePos x="0" y="0"/>
            <wp:positionH relativeFrom="column">
              <wp:posOffset>-268605</wp:posOffset>
            </wp:positionH>
            <wp:positionV relativeFrom="paragraph">
              <wp:posOffset>447040</wp:posOffset>
            </wp:positionV>
            <wp:extent cx="5770880" cy="8806180"/>
            <wp:effectExtent l="0" t="0" r="1270" b="13970"/>
            <wp:wrapNone/>
            <wp:docPr id="52" name="图片 52" descr="东陆接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东陆接管证明"/>
                    <pic:cNvPicPr>
                      <a:picLocks noChangeAspect="1"/>
                    </pic:cNvPicPr>
                  </pic:nvPicPr>
                  <pic:blipFill>
                    <a:blip r:embed="rId51"/>
                    <a:stretch>
                      <a:fillRect/>
                    </a:stretch>
                  </pic:blipFill>
                  <pic:spPr>
                    <a:xfrm>
                      <a:off x="0" y="0"/>
                      <a:ext cx="5770880" cy="8806180"/>
                    </a:xfrm>
                    <a:prstGeom prst="rect">
                      <a:avLst/>
                    </a:prstGeom>
                  </pic:spPr>
                </pic:pic>
              </a:graphicData>
            </a:graphic>
          </wp:anchor>
        </w:drawing>
      </w:r>
      <w:r>
        <w:rPr>
          <w:rFonts w:hint="eastAsia"/>
          <w:lang w:val="en-US" w:eastAsia="zh-CN"/>
        </w:rPr>
        <w:t>附件4：雨、污管网接管证明</w:t>
      </w:r>
      <w:bookmarkEnd w:id="49"/>
    </w:p>
    <w:p>
      <w:pPr>
        <w:bidi w:val="0"/>
        <w:rPr>
          <w:rFonts w:hint="eastAsia"/>
          <w:lang w:val="en-US" w:eastAsia="zh-CN"/>
        </w:rPr>
      </w:pPr>
    </w:p>
    <w:p>
      <w:pPr>
        <w:pStyle w:val="9"/>
        <w:bidi w:val="0"/>
        <w:rPr>
          <w:rFonts w:hint="eastAsia"/>
          <w:lang w:val="en-US" w:eastAsia="zh-CN"/>
        </w:rPr>
      </w:pPr>
    </w:p>
    <w:p>
      <w:pPr>
        <w:rPr>
          <w:rFonts w:hint="eastAsia"/>
          <w:lang w:val="en-US" w:eastAsia="zh-CN"/>
        </w:rPr>
      </w:pPr>
      <w:r>
        <w:rPr>
          <w:rFonts w:hint="eastAsia"/>
          <w:lang w:val="en-US" w:eastAsia="zh-CN"/>
        </w:rPr>
        <w:br w:type="page"/>
      </w:r>
    </w:p>
    <w:p>
      <w:pPr>
        <w:rPr>
          <w:rFonts w:hint="eastAsia"/>
          <w:lang w:val="en-US" w:eastAsia="zh-CN"/>
        </w:rPr>
      </w:pPr>
      <w:bookmarkStart w:id="50" w:name="_Toc809"/>
      <w:r>
        <w:rPr>
          <w:rFonts w:hint="eastAsia"/>
          <w:lang w:val="en-US" w:eastAsia="zh-CN"/>
        </w:rPr>
        <w:br w:type="page"/>
      </w:r>
    </w:p>
    <w:p>
      <w:pPr>
        <w:pStyle w:val="16"/>
        <w:bidi w:val="0"/>
        <w:rPr>
          <w:rFonts w:hint="eastAsia"/>
          <w:lang w:val="en-US" w:eastAsia="zh-CN"/>
        </w:rPr>
      </w:pPr>
      <w:r>
        <w:rPr>
          <w:rFonts w:hint="eastAsia"/>
          <w:lang w:val="en-US" w:eastAsia="zh-CN"/>
        </w:rPr>
        <w:drawing>
          <wp:anchor distT="0" distB="0" distL="114300" distR="114300" simplePos="0" relativeHeight="251789312" behindDoc="0" locked="0" layoutInCell="1" allowOverlap="1">
            <wp:simplePos x="0" y="0"/>
            <wp:positionH relativeFrom="column">
              <wp:posOffset>-285750</wp:posOffset>
            </wp:positionH>
            <wp:positionV relativeFrom="paragraph">
              <wp:posOffset>441960</wp:posOffset>
            </wp:positionV>
            <wp:extent cx="5911850" cy="8890000"/>
            <wp:effectExtent l="0" t="0" r="12700" b="6350"/>
            <wp:wrapNone/>
            <wp:docPr id="16" name="图片 16" descr="治理意见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治理意见批复1"/>
                    <pic:cNvPicPr>
                      <a:picLocks noChangeAspect="1"/>
                    </pic:cNvPicPr>
                  </pic:nvPicPr>
                  <pic:blipFill>
                    <a:blip r:embed="rId52"/>
                    <a:stretch>
                      <a:fillRect/>
                    </a:stretch>
                  </pic:blipFill>
                  <pic:spPr>
                    <a:xfrm>
                      <a:off x="0" y="0"/>
                      <a:ext cx="5911850" cy="8890000"/>
                    </a:xfrm>
                    <a:prstGeom prst="rect">
                      <a:avLst/>
                    </a:prstGeom>
                  </pic:spPr>
                </pic:pic>
              </a:graphicData>
            </a:graphic>
          </wp:anchor>
        </w:drawing>
      </w:r>
      <w:r>
        <w:rPr>
          <w:rFonts w:hint="eastAsia"/>
          <w:lang w:val="en-US" w:eastAsia="zh-CN"/>
        </w:rPr>
        <w:t>附件5：关于对混凝土搅拌站扬尘污染整治情况的验收意见</w:t>
      </w:r>
      <w:bookmarkEnd w:id="50"/>
    </w:p>
    <w:p>
      <w:pPr>
        <w:bidi w:val="0"/>
        <w:rPr>
          <w:rFonts w:hint="eastAsia"/>
          <w:lang w:val="en-US" w:eastAsia="zh-CN"/>
        </w:rPr>
      </w:pPr>
    </w:p>
    <w:p>
      <w:pPr>
        <w:rPr>
          <w:rFonts w:hint="eastAsia"/>
          <w:lang w:val="en-US" w:eastAsia="zh-CN"/>
        </w:rPr>
      </w:pPr>
      <w:r>
        <w:rPr>
          <w:rFonts w:hint="eastAsia"/>
          <w:lang w:val="en-US" w:eastAsia="zh-CN"/>
        </w:rPr>
        <w:br w:type="page"/>
      </w:r>
    </w:p>
    <w:p>
      <w:pPr>
        <w:bidi w:val="0"/>
        <w:rPr>
          <w:rFonts w:hint="eastAsia"/>
          <w:lang w:val="en-US" w:eastAsia="zh-CN"/>
        </w:rPr>
      </w:pPr>
      <w:r>
        <w:rPr>
          <w:rFonts w:hint="eastAsia"/>
          <w:lang w:val="en-US" w:eastAsia="zh-CN"/>
        </w:rPr>
        <w:drawing>
          <wp:anchor distT="0" distB="0" distL="114300" distR="114300" simplePos="0" relativeHeight="251790336" behindDoc="0" locked="0" layoutInCell="1" allowOverlap="1">
            <wp:simplePos x="0" y="0"/>
            <wp:positionH relativeFrom="column">
              <wp:posOffset>-497205</wp:posOffset>
            </wp:positionH>
            <wp:positionV relativeFrom="paragraph">
              <wp:posOffset>-274320</wp:posOffset>
            </wp:positionV>
            <wp:extent cx="6321425" cy="9506585"/>
            <wp:effectExtent l="0" t="0" r="3175" b="18415"/>
            <wp:wrapNone/>
            <wp:docPr id="17" name="图片 17" descr="治理意见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治理意见批复2"/>
                    <pic:cNvPicPr>
                      <a:picLocks noChangeAspect="1"/>
                    </pic:cNvPicPr>
                  </pic:nvPicPr>
                  <pic:blipFill>
                    <a:blip r:embed="rId53"/>
                    <a:stretch>
                      <a:fillRect/>
                    </a:stretch>
                  </pic:blipFill>
                  <pic:spPr>
                    <a:xfrm>
                      <a:off x="0" y="0"/>
                      <a:ext cx="6321425" cy="9506585"/>
                    </a:xfrm>
                    <a:prstGeom prst="rect">
                      <a:avLst/>
                    </a:prstGeom>
                  </pic:spPr>
                </pic:pic>
              </a:graphicData>
            </a:graphic>
          </wp:anchor>
        </w:drawing>
      </w:r>
      <w:r>
        <w:rPr>
          <w:rFonts w:hint="eastAsia"/>
          <w:lang w:val="en-US" w:eastAsia="zh-CN"/>
        </w:rPr>
        <w:br w:type="page"/>
      </w:r>
    </w:p>
    <w:p>
      <w:pPr>
        <w:pStyle w:val="16"/>
        <w:bidi w:val="0"/>
        <w:rPr>
          <w:rFonts w:hint="eastAsia"/>
          <w:lang w:val="en-US" w:eastAsia="zh-CN"/>
        </w:rPr>
      </w:pPr>
      <w:bookmarkStart w:id="51" w:name="_Toc11161"/>
      <w:r>
        <w:rPr>
          <w:rFonts w:hint="eastAsia"/>
          <w:lang w:val="en-US" w:eastAsia="zh-CN"/>
        </w:rPr>
        <w:t>附件6：监测现场照片</w:t>
      </w:r>
      <w:bookmarkEnd w:id="51"/>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4261" w:type="dxa"/>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drawing>
                <wp:inline distT="0" distB="0" distL="114300" distR="114300">
                  <wp:extent cx="2516505" cy="1887220"/>
                  <wp:effectExtent l="12700" t="12700" r="23495" b="24130"/>
                  <wp:docPr id="53" name="图片 53" descr="废水监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废水监测照片"/>
                          <pic:cNvPicPr>
                            <a:picLocks noChangeAspect="1"/>
                          </pic:cNvPicPr>
                        </pic:nvPicPr>
                        <pic:blipFill>
                          <a:blip r:embed="rId54"/>
                          <a:stretch>
                            <a:fillRect/>
                          </a:stretch>
                        </pic:blipFill>
                        <pic:spPr>
                          <a:xfrm>
                            <a:off x="0" y="0"/>
                            <a:ext cx="2516505" cy="1887220"/>
                          </a:xfrm>
                          <a:prstGeom prst="rect">
                            <a:avLst/>
                          </a:prstGeom>
                          <a:ln w="12700">
                            <a:solidFill>
                              <a:schemeClr val="tx1"/>
                            </a:solidFill>
                          </a:ln>
                        </pic:spPr>
                      </pic:pic>
                    </a:graphicData>
                  </a:graphic>
                </wp:inline>
              </w:drawing>
            </w:r>
          </w:p>
        </w:tc>
        <w:tc>
          <w:tcPr>
            <w:tcW w:w="4261" w:type="dxa"/>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drawing>
                <wp:inline distT="0" distB="0" distL="114300" distR="114300">
                  <wp:extent cx="2536190" cy="1901825"/>
                  <wp:effectExtent l="12700" t="12700" r="22860" b="28575"/>
                  <wp:docPr id="54" name="图片 54" descr="有组织废气监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有组织废气监测照片"/>
                          <pic:cNvPicPr>
                            <a:picLocks noChangeAspect="1"/>
                          </pic:cNvPicPr>
                        </pic:nvPicPr>
                        <pic:blipFill>
                          <a:blip r:embed="rId55"/>
                          <a:stretch>
                            <a:fillRect/>
                          </a:stretch>
                        </pic:blipFill>
                        <pic:spPr>
                          <a:xfrm>
                            <a:off x="0" y="0"/>
                            <a:ext cx="2536190" cy="190182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4261" w:type="dxa"/>
            <w:vAlign w:val="center"/>
          </w:tcPr>
          <w:p>
            <w:pPr>
              <w:pStyle w:val="13"/>
              <w:bidi w:val="0"/>
              <w:rPr>
                <w:rFonts w:hint="default"/>
                <w:lang w:val="en-US" w:eastAsia="zh-CN"/>
              </w:rPr>
            </w:pPr>
            <w:r>
              <w:rPr>
                <w:rFonts w:hint="eastAsia"/>
                <w:lang w:val="en-US" w:eastAsia="zh-CN"/>
              </w:rPr>
              <w:t>图1  废水监测照片</w:t>
            </w:r>
          </w:p>
        </w:tc>
        <w:tc>
          <w:tcPr>
            <w:tcW w:w="4261" w:type="dxa"/>
            <w:vAlign w:val="center"/>
          </w:tcPr>
          <w:p>
            <w:pPr>
              <w:pStyle w:val="13"/>
              <w:bidi w:val="0"/>
              <w:rPr>
                <w:rFonts w:hint="default"/>
                <w:lang w:val="en-US" w:eastAsia="zh-CN"/>
              </w:rPr>
            </w:pPr>
            <w:r>
              <w:rPr>
                <w:rFonts w:hint="eastAsia"/>
                <w:lang w:val="en-US" w:eastAsia="zh-CN"/>
              </w:rPr>
              <w:t>图2  有组织废气监测照片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4261" w:type="dxa"/>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drawing>
                <wp:inline distT="0" distB="0" distL="114300" distR="114300">
                  <wp:extent cx="2545715" cy="3394075"/>
                  <wp:effectExtent l="12700" t="12700" r="13335" b="22225"/>
                  <wp:docPr id="55" name="图片 55" descr="无组织废气监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无组织废气监测照片"/>
                          <pic:cNvPicPr>
                            <a:picLocks noChangeAspect="1"/>
                          </pic:cNvPicPr>
                        </pic:nvPicPr>
                        <pic:blipFill>
                          <a:blip r:embed="rId56"/>
                          <a:stretch>
                            <a:fillRect/>
                          </a:stretch>
                        </pic:blipFill>
                        <pic:spPr>
                          <a:xfrm>
                            <a:off x="0" y="0"/>
                            <a:ext cx="2545715" cy="3394075"/>
                          </a:xfrm>
                          <a:prstGeom prst="rect">
                            <a:avLst/>
                          </a:prstGeom>
                          <a:ln w="12700">
                            <a:solidFill>
                              <a:schemeClr val="tx1"/>
                            </a:solidFill>
                          </a:ln>
                        </pic:spPr>
                      </pic:pic>
                    </a:graphicData>
                  </a:graphic>
                </wp:inline>
              </w:drawing>
            </w:r>
          </w:p>
        </w:tc>
        <w:tc>
          <w:tcPr>
            <w:tcW w:w="4261" w:type="dxa"/>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drawing>
                <wp:inline distT="0" distB="0" distL="114300" distR="114300">
                  <wp:extent cx="2545715" cy="3394075"/>
                  <wp:effectExtent l="12700" t="12700" r="13335" b="22225"/>
                  <wp:docPr id="56" name="图片 56" descr="噪声监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噪声监测照片"/>
                          <pic:cNvPicPr>
                            <a:picLocks noChangeAspect="1"/>
                          </pic:cNvPicPr>
                        </pic:nvPicPr>
                        <pic:blipFill>
                          <a:blip r:embed="rId57"/>
                          <a:stretch>
                            <a:fillRect/>
                          </a:stretch>
                        </pic:blipFill>
                        <pic:spPr>
                          <a:xfrm>
                            <a:off x="0" y="0"/>
                            <a:ext cx="2545715" cy="3394075"/>
                          </a:xfrm>
                          <a:prstGeom prst="rect">
                            <a:avLst/>
                          </a:prstGeom>
                          <a:ln w="12700">
                            <a:solidFill>
                              <a:schemeClr val="tx1"/>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4261" w:type="dxa"/>
            <w:vAlign w:val="center"/>
          </w:tcPr>
          <w:p>
            <w:pPr>
              <w:pStyle w:val="13"/>
              <w:bidi w:val="0"/>
              <w:rPr>
                <w:rFonts w:hint="default"/>
                <w:lang w:val="en-US" w:eastAsia="zh-CN"/>
              </w:rPr>
            </w:pPr>
            <w:r>
              <w:rPr>
                <w:rFonts w:hint="eastAsia"/>
                <w:lang w:val="en-US" w:eastAsia="zh-CN"/>
              </w:rPr>
              <w:t>图3  无组织废气监测照片</w:t>
            </w:r>
          </w:p>
        </w:tc>
        <w:tc>
          <w:tcPr>
            <w:tcW w:w="4261" w:type="dxa"/>
            <w:vAlign w:val="center"/>
          </w:tcPr>
          <w:p>
            <w:pPr>
              <w:pStyle w:val="13"/>
              <w:bidi w:val="0"/>
              <w:rPr>
                <w:rFonts w:hint="default"/>
                <w:lang w:val="en-US" w:eastAsia="zh-CN"/>
              </w:rPr>
            </w:pPr>
            <w:r>
              <w:rPr>
                <w:rFonts w:hint="eastAsia"/>
                <w:lang w:val="en-US" w:eastAsia="zh-CN"/>
              </w:rPr>
              <w:t>图4  噪声监测照片</w:t>
            </w:r>
          </w:p>
        </w:tc>
      </w:tr>
    </w:tbl>
    <w:p>
      <w:pPr>
        <w:bidi w:val="0"/>
        <w:rPr>
          <w:rFonts w:hint="eastAsia"/>
          <w:lang w:val="en-US" w:eastAsia="zh-CN"/>
        </w:rPr>
      </w:pPr>
    </w:p>
    <w:p>
      <w:pPr>
        <w:pStyle w:val="9"/>
        <w:bidi w:val="0"/>
        <w:rPr>
          <w:rFonts w:hint="eastAsia"/>
          <w:lang w:val="en-US" w:eastAsia="zh-CN"/>
        </w:rPr>
      </w:pPr>
    </w:p>
    <w:p>
      <w:pPr>
        <w:rPr>
          <w:rFonts w:hint="eastAsia"/>
          <w:lang w:val="en-US" w:eastAsia="zh-CN"/>
        </w:rPr>
      </w:pPr>
      <w:r>
        <w:rPr>
          <w:rFonts w:hint="eastAsia"/>
          <w:lang w:val="en-US" w:eastAsia="zh-CN"/>
        </w:rPr>
        <w:br w:type="page"/>
      </w:r>
    </w:p>
    <w:p>
      <w:pPr>
        <w:pStyle w:val="9"/>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bidi w:val="0"/>
        <w:jc w:val="center"/>
        <w:rPr>
          <w:rFonts w:hint="eastAsia"/>
          <w:b/>
          <w:bCs/>
          <w:lang w:val="en-US" w:eastAsia="zh-CN"/>
        </w:rPr>
      </w:pPr>
      <w:r>
        <w:rPr>
          <w:rFonts w:hint="eastAsia"/>
          <w:b/>
          <w:bCs/>
          <w:lang w:val="en-US" w:eastAsia="zh-CN"/>
        </w:rPr>
        <w:t>建设项目竣工环境保护“三同时”验收登记表</w:t>
      </w:r>
    </w:p>
    <w:p>
      <w:pPr>
        <w:bidi w:val="0"/>
        <w:jc w:val="left"/>
        <w:rPr>
          <w:rFonts w:hint="default"/>
          <w:b w:val="0"/>
          <w:bCs w:val="0"/>
          <w:lang w:val="en-US" w:eastAsia="zh-CN"/>
        </w:rPr>
      </w:pPr>
      <w:r>
        <w:rPr>
          <w:rFonts w:hint="eastAsia"/>
          <w:b w:val="0"/>
          <w:bCs w:val="0"/>
          <w:lang w:val="en-US" w:eastAsia="zh-CN"/>
        </w:rPr>
        <w:t>填表单位（盖章）：合肥东陆混凝土有限公司                  填表人（签字）：              项目经办人（签字）：</w:t>
      </w:r>
    </w:p>
    <w:tbl>
      <w:tblPr>
        <w:tblStyle w:val="1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881"/>
        <w:gridCol w:w="324"/>
        <w:gridCol w:w="290"/>
        <w:gridCol w:w="908"/>
        <w:gridCol w:w="198"/>
        <w:gridCol w:w="408"/>
        <w:gridCol w:w="302"/>
        <w:gridCol w:w="908"/>
        <w:gridCol w:w="233"/>
        <w:gridCol w:w="333"/>
        <w:gridCol w:w="342"/>
        <w:gridCol w:w="908"/>
        <w:gridCol w:w="913"/>
        <w:gridCol w:w="1627"/>
        <w:gridCol w:w="976"/>
        <w:gridCol w:w="963"/>
        <w:gridCol w:w="509"/>
        <w:gridCol w:w="584"/>
        <w:gridCol w:w="467"/>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建设项目</w:t>
            </w: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项目名称</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混凝土生产项目</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项目代码</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eastAsia="zh-CN"/>
              </w:rPr>
              <w:t>发改双服</w:t>
            </w:r>
            <w:r>
              <w:rPr>
                <w:rFonts w:hint="eastAsia" w:ascii="Times New Roman" w:hAnsi="Times New Roman" w:eastAsia="宋体" w:cs="Times New Roman"/>
                <w:sz w:val="15"/>
                <w:szCs w:val="15"/>
                <w:lang w:val="en-US" w:eastAsia="zh-CN"/>
              </w:rPr>
              <w:t>[2007]182</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b/>
                <w:bCs/>
                <w:sz w:val="15"/>
                <w:szCs w:val="15"/>
              </w:rPr>
              <w:t>建设地点</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eastAsia="zh-CN"/>
              </w:rPr>
              <w:t>安徽长丰双凤经济开发区</w:t>
            </w:r>
            <w:r>
              <w:rPr>
                <w:rFonts w:hint="eastAsia" w:ascii="Times New Roman" w:hAnsi="Times New Roman" w:eastAsia="宋体" w:cs="Times New Roman"/>
                <w:sz w:val="15"/>
                <w:szCs w:val="15"/>
                <w:lang w:eastAsia="zh-CN"/>
              </w:rPr>
              <w:t>阜阳北路</w:t>
            </w:r>
            <w:r>
              <w:rPr>
                <w:rFonts w:hint="default" w:ascii="Times New Roman" w:hAnsi="Times New Roman" w:eastAsia="宋体" w:cs="Times New Roman"/>
                <w:sz w:val="15"/>
                <w:szCs w:val="15"/>
                <w:lang w:eastAsia="zh-CN"/>
              </w:rPr>
              <w:t>以东、金兰路以南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行业类别（分类管理名录）</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50 硂结构构件制造、商品混凝土加工</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建设性质</w:t>
            </w:r>
          </w:p>
        </w:tc>
        <w:tc>
          <w:tcPr>
            <w:tcW w:w="5676"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eastAsia="zh-CN"/>
              </w:rPr>
              <w:sym w:font="Wingdings 2" w:char="0052"/>
            </w:r>
            <w:r>
              <w:rPr>
                <w:rFonts w:hint="default" w:ascii="Times New Roman" w:hAnsi="Times New Roman" w:eastAsia="宋体" w:cs="Times New Roman"/>
                <w:sz w:val="15"/>
                <w:szCs w:val="15"/>
                <w:lang w:eastAsia="zh-CN"/>
              </w:rPr>
              <w:t xml:space="preserve">新建  </w:t>
            </w:r>
            <w:r>
              <w:rPr>
                <w:rFonts w:hint="default" w:ascii="Times New Roman" w:hAnsi="Times New Roman" w:eastAsia="宋体" w:cs="Times New Roman"/>
                <w:sz w:val="15"/>
                <w:szCs w:val="15"/>
                <w:lang w:eastAsia="zh-CN"/>
              </w:rPr>
              <w:sym w:font="Wingdings 2" w:char="00A3"/>
            </w:r>
            <w:r>
              <w:rPr>
                <w:rFonts w:hint="default" w:ascii="Times New Roman" w:hAnsi="Times New Roman" w:eastAsia="宋体" w:cs="Times New Roman"/>
                <w:sz w:val="15"/>
                <w:szCs w:val="15"/>
                <w:lang w:eastAsia="zh-CN"/>
              </w:rPr>
              <w:t xml:space="preserve">改扩建  </w:t>
            </w:r>
            <w:r>
              <w:rPr>
                <w:rFonts w:hint="default" w:ascii="Times New Roman" w:hAnsi="Times New Roman" w:eastAsia="宋体" w:cs="Times New Roman"/>
                <w:sz w:val="15"/>
                <w:szCs w:val="15"/>
                <w:lang w:eastAsia="zh-CN"/>
              </w:rPr>
              <w:sym w:font="Wingdings 2" w:char="00A3"/>
            </w:r>
            <w:r>
              <w:rPr>
                <w:rFonts w:hint="default" w:ascii="Times New Roman" w:hAnsi="Times New Roman" w:eastAsia="宋体" w:cs="Times New Roman"/>
                <w:sz w:val="15"/>
                <w:szCs w:val="15"/>
                <w:lang w:eastAsia="zh-CN"/>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设计生产能力</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eastAsia="zh-CN"/>
              </w:rPr>
              <w:t>年产</w:t>
            </w:r>
            <w:r>
              <w:rPr>
                <w:rFonts w:hint="eastAsia" w:ascii="Times New Roman" w:hAnsi="Times New Roman" w:eastAsia="宋体" w:cs="Times New Roman"/>
                <w:sz w:val="15"/>
                <w:szCs w:val="15"/>
                <w:lang w:val="en-US" w:eastAsia="zh-CN"/>
              </w:rPr>
              <w:t>36万立方商品混凝土</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实际生产能力</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年产</w:t>
            </w:r>
            <w:r>
              <w:rPr>
                <w:rFonts w:hint="eastAsia" w:ascii="Times New Roman" w:hAnsi="Times New Roman" w:eastAsia="宋体" w:cs="Times New Roman"/>
                <w:sz w:val="15"/>
                <w:szCs w:val="15"/>
                <w:lang w:val="en-US" w:eastAsia="zh-CN"/>
              </w:rPr>
              <w:t>36万立方商品混凝土</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b/>
                <w:bCs/>
                <w:sz w:val="15"/>
                <w:szCs w:val="15"/>
              </w:rPr>
              <w:t>环评单位</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合肥市环境保护科学研究所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环评文件审批机关</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eastAsia="zh-CN"/>
              </w:rPr>
              <w:t>长丰县环境保护局</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审批文号</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表，</w:t>
            </w:r>
            <w:r>
              <w:rPr>
                <w:rFonts w:hint="default" w:ascii="Times New Roman" w:hAnsi="Times New Roman" w:eastAsia="宋体" w:cs="Times New Roman"/>
                <w:sz w:val="15"/>
                <w:szCs w:val="15"/>
                <w:lang w:eastAsia="zh-CN"/>
              </w:rPr>
              <w:t>长环建</w:t>
            </w:r>
            <w:r>
              <w:rPr>
                <w:rFonts w:hint="eastAsia" w:ascii="Times New Roman" w:hAnsi="Times New Roman" w:eastAsia="宋体" w:cs="Times New Roman"/>
                <w:sz w:val="15"/>
                <w:szCs w:val="15"/>
                <w:lang w:val="en-US" w:eastAsia="zh-CN"/>
              </w:rPr>
              <w:t>[2008]9</w:t>
            </w:r>
            <w:r>
              <w:rPr>
                <w:rFonts w:hint="default" w:ascii="Times New Roman" w:hAnsi="Times New Roman" w:eastAsia="宋体" w:cs="Times New Roman"/>
                <w:sz w:val="15"/>
                <w:szCs w:val="15"/>
                <w:lang w:eastAsia="zh-CN"/>
              </w:rPr>
              <w:t>号</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环评文件类型</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开工日期</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竣工日期</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排污许可证申领时间</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环保设施设计单位</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环保设施施工单位</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eastAsia="zh-CN"/>
              </w:rPr>
              <w:t>/</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本工程排污许可证编号</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验收单位</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合肥东陆混凝土有限公司</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环保设施监测单位</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安徽省中望环保节能检测有限公司</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验收监测时工况</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rPr>
            </w:pPr>
            <w:r>
              <w:rPr>
                <w:rFonts w:hint="default" w:ascii="Times New Roman" w:hAnsi="Times New Roman" w:eastAsia="宋体" w:cs="Times New Roman"/>
                <w:sz w:val="15"/>
                <w:szCs w:val="15"/>
              </w:rPr>
              <w:t>201</w:t>
            </w:r>
            <w:r>
              <w:rPr>
                <w:rFonts w:hint="eastAsia" w:ascii="Times New Roman" w:hAnsi="Times New Roman" w:eastAsia="宋体" w:cs="Times New Roman"/>
                <w:sz w:val="15"/>
                <w:szCs w:val="15"/>
                <w:lang w:val="en-US" w:eastAsia="zh-CN"/>
              </w:rPr>
              <w:t>8</w:t>
            </w:r>
            <w:r>
              <w:rPr>
                <w:rFonts w:hint="default" w:ascii="Times New Roman" w:hAnsi="Times New Roman" w:eastAsia="宋体" w:cs="Times New Roman"/>
                <w:sz w:val="15"/>
                <w:szCs w:val="15"/>
              </w:rPr>
              <w:t>年</w:t>
            </w:r>
            <w:r>
              <w:rPr>
                <w:rFonts w:hint="eastAsia" w:ascii="Times New Roman" w:hAnsi="Times New Roman" w:eastAsia="宋体" w:cs="Times New Roman"/>
                <w:sz w:val="15"/>
                <w:szCs w:val="15"/>
                <w:lang w:val="en-US" w:eastAsia="zh-CN"/>
              </w:rPr>
              <w:t>11</w:t>
            </w:r>
            <w:r>
              <w:rPr>
                <w:rFonts w:hint="default" w:ascii="Times New Roman" w:hAnsi="Times New Roman" w:eastAsia="宋体" w:cs="Times New Roman"/>
                <w:sz w:val="15"/>
                <w:szCs w:val="15"/>
              </w:rPr>
              <w:t>月</w:t>
            </w:r>
            <w:r>
              <w:rPr>
                <w:rFonts w:hint="default" w:ascii="Times New Roman" w:hAnsi="Times New Roman" w:eastAsia="宋体" w:cs="Times New Roman"/>
                <w:sz w:val="15"/>
                <w:szCs w:val="15"/>
                <w:lang w:val="en-US" w:eastAsia="zh-CN"/>
              </w:rPr>
              <w:t>2</w:t>
            </w:r>
            <w:r>
              <w:rPr>
                <w:rFonts w:hint="eastAsia" w:ascii="Times New Roman" w:hAnsi="Times New Roman" w:eastAsia="宋体" w:cs="Times New Roman"/>
                <w:sz w:val="15"/>
                <w:szCs w:val="15"/>
                <w:lang w:val="en-US" w:eastAsia="zh-CN"/>
              </w:rPr>
              <w:t>6</w:t>
            </w:r>
            <w:r>
              <w:rPr>
                <w:rFonts w:hint="default" w:ascii="Times New Roman" w:hAnsi="Times New Roman" w:eastAsia="宋体" w:cs="Times New Roman"/>
                <w:sz w:val="15"/>
                <w:szCs w:val="15"/>
              </w:rPr>
              <w:t>日</w:t>
            </w:r>
            <w:r>
              <w:rPr>
                <w:rFonts w:hint="default" w:ascii="Times New Roman" w:hAnsi="Times New Roman" w:eastAsia="宋体" w:cs="Times New Roman"/>
                <w:sz w:val="15"/>
                <w:szCs w:val="15"/>
                <w:lang w:eastAsia="zh-CN"/>
              </w:rPr>
              <w:t>~</w:t>
            </w:r>
            <w:r>
              <w:rPr>
                <w:rFonts w:hint="eastAsia" w:ascii="Times New Roman" w:hAnsi="Times New Roman" w:eastAsia="宋体" w:cs="Times New Roman"/>
                <w:sz w:val="15"/>
                <w:szCs w:val="15"/>
                <w:lang w:val="en-US" w:eastAsia="zh-CN"/>
              </w:rPr>
              <w:t>27</w:t>
            </w:r>
            <w:r>
              <w:rPr>
                <w:rFonts w:hint="default" w:ascii="Times New Roman" w:hAnsi="Times New Roman" w:eastAsia="宋体" w:cs="Times New Roman"/>
                <w:sz w:val="15"/>
                <w:szCs w:val="15"/>
                <w:lang w:eastAsia="zh-CN"/>
              </w:rPr>
              <w:t>日</w:t>
            </w:r>
            <w:r>
              <w:rPr>
                <w:rFonts w:hint="default" w:ascii="Times New Roman" w:hAnsi="Times New Roman" w:eastAsia="宋体" w:cs="Times New Roman"/>
                <w:sz w:val="15"/>
                <w:szCs w:val="15"/>
              </w:rPr>
              <w:t>：</w:t>
            </w:r>
            <w:r>
              <w:rPr>
                <w:rFonts w:hint="eastAsia" w:ascii="Times New Roman" w:hAnsi="Times New Roman" w:eastAsia="宋体" w:cs="Times New Roman"/>
                <w:sz w:val="15"/>
                <w:szCs w:val="15"/>
                <w:lang w:val="en-US" w:eastAsia="zh-CN"/>
              </w:rPr>
              <w:t>8</w:t>
            </w:r>
            <w:r>
              <w:rPr>
                <w:rFonts w:hint="default" w:ascii="Times New Roman" w:hAnsi="Times New Roman" w:eastAsia="宋体" w:cs="Times New Roman"/>
                <w:sz w:val="15"/>
                <w:szCs w:val="15"/>
                <w:lang w:val="en-US" w:eastAsia="zh-CN"/>
              </w:rPr>
              <w:t>3.3%~</w:t>
            </w:r>
            <w:r>
              <w:rPr>
                <w:rFonts w:hint="eastAsia" w:ascii="Times New Roman" w:hAnsi="Times New Roman" w:eastAsia="宋体" w:cs="Times New Roman"/>
                <w:sz w:val="15"/>
                <w:szCs w:val="15"/>
                <w:lang w:val="en-US" w:eastAsia="zh-CN"/>
              </w:rPr>
              <w:t>85</w:t>
            </w:r>
            <w:r>
              <w:rPr>
                <w:rFonts w:hint="default" w:ascii="Times New Roman" w:hAnsi="Times New Roman" w:eastAsia="宋体" w:cs="Times New Roman"/>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投资总概算（万元）</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1584</w:t>
            </w:r>
            <w:r>
              <w:rPr>
                <w:rFonts w:hint="default" w:ascii="Times New Roman" w:hAnsi="Times New Roman" w:eastAsia="宋体" w:cs="Times New Roman"/>
                <w:sz w:val="15"/>
                <w:szCs w:val="15"/>
                <w:lang w:eastAsia="zh-CN"/>
              </w:rPr>
              <w:t>万元</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环保投资总概算（万元）</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47</w:t>
            </w:r>
            <w:r>
              <w:rPr>
                <w:rFonts w:hint="default" w:ascii="Times New Roman" w:hAnsi="Times New Roman" w:eastAsia="宋体" w:cs="Times New Roman"/>
                <w:sz w:val="15"/>
                <w:szCs w:val="15"/>
                <w:lang w:eastAsia="zh-CN"/>
              </w:rPr>
              <w:t>万元</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所占比例（%）</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实际总投资</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1584</w:t>
            </w:r>
            <w:r>
              <w:rPr>
                <w:rFonts w:hint="default" w:ascii="Times New Roman" w:hAnsi="Times New Roman" w:eastAsia="宋体" w:cs="Times New Roman"/>
                <w:sz w:val="15"/>
                <w:szCs w:val="15"/>
                <w:lang w:eastAsia="zh-CN"/>
              </w:rPr>
              <w:t>万元</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实际环保投资（万元）</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15"/>
                <w:szCs w:val="15"/>
                <w:lang w:eastAsia="zh-CN"/>
              </w:rPr>
            </w:pPr>
            <w:r>
              <w:rPr>
                <w:rFonts w:hint="eastAsia" w:ascii="Times New Roman" w:hAnsi="Times New Roman" w:eastAsia="宋体" w:cs="Times New Roman"/>
                <w:b/>
                <w:bCs/>
                <w:color w:val="auto"/>
                <w:sz w:val="15"/>
                <w:szCs w:val="15"/>
                <w:lang w:val="en-US" w:eastAsia="zh-CN"/>
              </w:rPr>
              <w:t>270</w:t>
            </w:r>
            <w:r>
              <w:rPr>
                <w:rFonts w:hint="default" w:ascii="Times New Roman" w:hAnsi="Times New Roman" w:eastAsia="宋体" w:cs="Times New Roman"/>
                <w:b/>
                <w:bCs/>
                <w:color w:val="auto"/>
                <w:sz w:val="15"/>
                <w:szCs w:val="15"/>
                <w:lang w:eastAsia="zh-CN"/>
              </w:rPr>
              <w:t>万元</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所占比例（%）</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废气治理（万元）</w:t>
            </w:r>
          </w:p>
        </w:tc>
        <w:tc>
          <w:tcPr>
            <w:tcW w:w="32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val="en-US" w:eastAsia="zh-CN"/>
              </w:rPr>
            </w:pPr>
            <w:r>
              <w:rPr>
                <w:rFonts w:hint="default" w:ascii="Times New Roman" w:hAnsi="Times New Roman" w:eastAsia="宋体" w:cs="Times New Roman"/>
                <w:b/>
                <w:bCs/>
                <w:sz w:val="15"/>
                <w:szCs w:val="15"/>
                <w:lang w:val="en-US" w:eastAsia="zh-CN"/>
              </w:rPr>
              <w:t>/</w:t>
            </w:r>
          </w:p>
        </w:tc>
        <w:tc>
          <w:tcPr>
            <w:tcW w:w="139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废水治理（万元）</w:t>
            </w:r>
          </w:p>
        </w:tc>
        <w:tc>
          <w:tcPr>
            <w:tcW w:w="4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lang w:eastAsia="zh-CN"/>
              </w:rPr>
              <w:t>/</w:t>
            </w:r>
          </w:p>
        </w:tc>
        <w:tc>
          <w:tcPr>
            <w:tcW w:w="144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噪声治理（万元）</w:t>
            </w:r>
          </w:p>
        </w:tc>
        <w:tc>
          <w:tcPr>
            <w:tcW w:w="33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val="en-US" w:eastAsia="zh-CN"/>
              </w:rPr>
              <w:t>/</w:t>
            </w: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固体废物治理（万元）</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val="en-US" w:eastAsia="zh-CN"/>
              </w:rPr>
              <w:t>/</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绿化及生态（万元）</w:t>
            </w: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5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其他（万元）</w:t>
            </w:r>
          </w:p>
        </w:tc>
        <w:tc>
          <w:tcPr>
            <w:tcW w:w="5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新增废水处理设施能力</w:t>
            </w:r>
          </w:p>
        </w:tc>
        <w:tc>
          <w:tcPr>
            <w:tcW w:w="3904"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216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新增废气处理设施能力</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年平均工作时</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2080h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4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运营单位</w:t>
            </w:r>
          </w:p>
        </w:tc>
        <w:tc>
          <w:tcPr>
            <w:tcW w:w="3338"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合肥东陆混凝土有限公司</w:t>
            </w:r>
          </w:p>
        </w:tc>
        <w:tc>
          <w:tcPr>
            <w:tcW w:w="2729"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运营单位社会统一信用代码（或组织机构代码）</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91340121669477935U</w:t>
            </w:r>
          </w:p>
        </w:tc>
        <w:tc>
          <w:tcPr>
            <w:tcW w:w="193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验收时间</w:t>
            </w:r>
          </w:p>
        </w:tc>
        <w:tc>
          <w:tcPr>
            <w:tcW w:w="21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污染物排放达标与总量控制（工业建设项目详填）</w:t>
            </w: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污染物</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原有排放量（1）</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本期工程实际排放浓度（2）</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本期工程允许排放浓度（3）</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本期工程产生量（4）</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本期工程自身削减量（5）</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本期工程实际排放量（6）</w:t>
            </w: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本期工程核定排放总量（7）</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本期工程“以新带老”削减量（8）</w:t>
            </w: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全厂实际排放总量（9）</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全厂核定排放总量（10）</w:t>
            </w: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区域平衡替代削减量（11）</w:t>
            </w: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rPr>
              <w:t>废水</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15"/>
                <w:szCs w:val="15"/>
                <w:lang w:val="en-US" w:eastAsia="zh-CN"/>
              </w:rPr>
            </w:pPr>
            <w:r>
              <w:rPr>
                <w:rFonts w:hint="default" w:ascii="Times New Roman" w:hAnsi="Times New Roman" w:eastAsia="宋体" w:cs="Times New Roman"/>
                <w:sz w:val="15"/>
                <w:szCs w:val="15"/>
              </w:rPr>
              <w:t>-</w:t>
            </w:r>
            <w:r>
              <w:rPr>
                <w:rFonts w:hint="eastAsia" w:ascii="Times New Roman" w:hAnsi="Times New Roman" w:eastAsia="宋体" w:cs="Times New Roman"/>
                <w:sz w:val="15"/>
                <w:szCs w:val="15"/>
                <w:lang w:val="en-US" w:eastAsia="zh-CN"/>
              </w:rPr>
              <w:t>-</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15"/>
                <w:szCs w:val="15"/>
                <w:lang w:val="en-US" w:eastAsia="zh-CN"/>
              </w:rPr>
            </w:pPr>
            <w:r>
              <w:rPr>
                <w:rFonts w:hint="default" w:ascii="Times New Roman" w:hAnsi="Times New Roman" w:eastAsia="宋体" w:cs="Times New Roman"/>
                <w:sz w:val="15"/>
                <w:szCs w:val="15"/>
              </w:rPr>
              <w:t>-</w:t>
            </w:r>
            <w:r>
              <w:rPr>
                <w:rFonts w:hint="eastAsia" w:ascii="Times New Roman" w:hAnsi="Times New Roman" w:eastAsia="宋体" w:cs="Times New Roman"/>
                <w:sz w:val="15"/>
                <w:szCs w:val="15"/>
                <w:lang w:val="en-US" w:eastAsia="zh-CN"/>
              </w:rPr>
              <w:t>-</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0.0702</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15"/>
                <w:szCs w:val="15"/>
                <w:lang w:val="en-US" w:eastAsia="zh-CN"/>
              </w:rPr>
            </w:pPr>
            <w:r>
              <w:rPr>
                <w:rFonts w:hint="default" w:ascii="Times New Roman" w:hAnsi="Times New Roman" w:eastAsia="宋体" w:cs="Times New Roman"/>
                <w:sz w:val="15"/>
                <w:szCs w:val="15"/>
              </w:rPr>
              <w:t>-</w:t>
            </w:r>
            <w:r>
              <w:rPr>
                <w:rFonts w:hint="eastAsia" w:ascii="Times New Roman" w:hAnsi="Times New Roman" w:eastAsia="宋体" w:cs="Times New Roman"/>
                <w:sz w:val="15"/>
                <w:szCs w:val="15"/>
                <w:lang w:val="en-US" w:eastAsia="zh-CN"/>
              </w:rPr>
              <w:t>-</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0.0714</w:t>
            </w: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0.0702</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0.0702</w:t>
            </w: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eastAsia="zh-CN"/>
              </w:rPr>
              <w:t>+</w:t>
            </w:r>
            <w:r>
              <w:rPr>
                <w:rFonts w:hint="default" w:ascii="Times New Roman" w:hAnsi="Times New Roman" w:eastAsia="宋体" w:cs="Times New Roman"/>
                <w:sz w:val="15"/>
                <w:szCs w:val="15"/>
                <w:lang w:val="en-US" w:eastAsia="zh-CN"/>
              </w:rPr>
              <w:t>0</w:t>
            </w:r>
            <w:r>
              <w:rPr>
                <w:rFonts w:hint="eastAsia" w:ascii="Times New Roman" w:hAnsi="Times New Roman" w:eastAsia="宋体" w:cs="Times New Roman"/>
                <w:sz w:val="15"/>
                <w:szCs w:val="15"/>
                <w:lang w:val="en-US" w:eastAsia="zh-CN"/>
              </w:rPr>
              <w:t>.0702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化学需氧量</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213</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420</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0.18</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0.03</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0.15</w:t>
            </w: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0.15</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0.15</w:t>
            </w: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rPr>
            </w:pPr>
            <w:r>
              <w:rPr>
                <w:rFonts w:hint="default" w:ascii="Times New Roman" w:hAnsi="Times New Roman" w:eastAsia="宋体" w:cs="Times New Roman"/>
                <w:sz w:val="15"/>
                <w:szCs w:val="15"/>
                <w:lang w:eastAsia="zh-CN"/>
              </w:rPr>
              <w:t>+</w:t>
            </w:r>
            <w:r>
              <w:rPr>
                <w:rFonts w:hint="default" w:ascii="Times New Roman" w:hAnsi="Times New Roman" w:eastAsia="宋体" w:cs="Times New Roman"/>
                <w:sz w:val="15"/>
                <w:szCs w:val="15"/>
                <w:lang w:val="en-US" w:eastAsia="zh-CN"/>
              </w:rPr>
              <w:t>0</w:t>
            </w:r>
            <w:r>
              <w:rPr>
                <w:rFonts w:hint="eastAsia" w:ascii="Times New Roman" w:hAnsi="Times New Roman" w:eastAsia="宋体" w:cs="Times New Roman"/>
                <w:sz w:val="15"/>
                <w:szCs w:val="15"/>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氨氮</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30</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28</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0.02</w:t>
            </w: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r>
              <w:rPr>
                <w:rFonts w:hint="default" w:ascii="Times New Roman" w:hAnsi="Times New Roman" w:eastAsia="宋体" w:cs="Times New Roman"/>
                <w:sz w:val="15"/>
                <w:szCs w:val="15"/>
              </w:rPr>
              <w:t>-</w:t>
            </w: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0.02</w:t>
            </w: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0.02</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0.02</w:t>
            </w: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eastAsia="zh-CN"/>
              </w:rPr>
              <w:t>+</w:t>
            </w:r>
            <w:r>
              <w:rPr>
                <w:rFonts w:hint="default" w:ascii="Times New Roman" w:hAnsi="Times New Roman" w:eastAsia="宋体" w:cs="Times New Roman"/>
                <w:sz w:val="15"/>
                <w:szCs w:val="15"/>
                <w:lang w:val="en-US" w:eastAsia="zh-CN"/>
              </w:rPr>
              <w:t>0</w:t>
            </w:r>
            <w:r>
              <w:rPr>
                <w:rFonts w:hint="eastAsia" w:ascii="Times New Roman" w:hAnsi="Times New Roman" w:eastAsia="宋体" w:cs="Times New Roman"/>
                <w:sz w:val="15"/>
                <w:szCs w:val="15"/>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石油类</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废气</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二氧化硫</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lang w:eastAsia="zh-CN"/>
              </w:rPr>
            </w:pPr>
            <w:r>
              <w:rPr>
                <w:rFonts w:hint="default" w:ascii="Times New Roman" w:hAnsi="Times New Roman" w:eastAsia="宋体" w:cs="Times New Roman"/>
                <w:b/>
                <w:bCs/>
                <w:sz w:val="15"/>
                <w:szCs w:val="15"/>
                <w:lang w:eastAsia="zh-CN"/>
              </w:rPr>
              <w:t>挥发性有机物</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highlight w:val="none"/>
              </w:rPr>
              <w:t>氮氧化物</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p>
        </w:tc>
        <w:tc>
          <w:tcPr>
            <w:tcW w:w="18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15"/>
                <w:szCs w:val="15"/>
              </w:rPr>
            </w:pPr>
            <w:r>
              <w:rPr>
                <w:rFonts w:hint="default" w:ascii="Times New Roman" w:hAnsi="Times New Roman" w:eastAsia="宋体" w:cs="Times New Roman"/>
                <w:b/>
                <w:bCs/>
                <w:sz w:val="15"/>
                <w:szCs w:val="15"/>
              </w:rPr>
              <w:t>工业固体废物</w:t>
            </w:r>
          </w:p>
        </w:tc>
        <w:tc>
          <w:tcPr>
            <w:tcW w:w="61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lang w:eastAsia="zh-CN"/>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0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c>
          <w:tcPr>
            <w:tcW w:w="10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5"/>
                <w:szCs w:val="15"/>
              </w:rPr>
            </w:pP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15"/>
          <w:szCs w:val="15"/>
          <w:lang w:val="en-US" w:eastAsia="zh-CN"/>
        </w:rPr>
      </w:pPr>
      <w:r>
        <w:rPr>
          <w:rFonts w:hint="eastAsia"/>
          <w:b w:val="0"/>
          <w:bCs w:val="0"/>
          <w:sz w:val="15"/>
          <w:szCs w:val="15"/>
          <w:lang w:val="en-US" w:eastAsia="zh-CN"/>
        </w:rPr>
        <w:t>注：1、排放增减量：（+）表示增加，（-）表示减少。2、（12）=（6）-（8）-（11）。3、计量单位：废水排放量――万吨/年；废气排放量——万标立方米/年；工业固体废物排放量——万吨/年；水污染物排放浓度——毫克/升</w:t>
      </w:r>
    </w:p>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530031"/>
    <w:rsid w:val="014C5458"/>
    <w:rsid w:val="01C6616C"/>
    <w:rsid w:val="027F780D"/>
    <w:rsid w:val="03212329"/>
    <w:rsid w:val="03435DC2"/>
    <w:rsid w:val="04442059"/>
    <w:rsid w:val="04577B66"/>
    <w:rsid w:val="048B1120"/>
    <w:rsid w:val="051C0134"/>
    <w:rsid w:val="05A97E30"/>
    <w:rsid w:val="068B79F6"/>
    <w:rsid w:val="06A965C6"/>
    <w:rsid w:val="070E4E28"/>
    <w:rsid w:val="07CA0ACA"/>
    <w:rsid w:val="092212AB"/>
    <w:rsid w:val="09354992"/>
    <w:rsid w:val="093A3C99"/>
    <w:rsid w:val="096D6700"/>
    <w:rsid w:val="099D27FF"/>
    <w:rsid w:val="0A617BD1"/>
    <w:rsid w:val="0C1F1222"/>
    <w:rsid w:val="0C2D1325"/>
    <w:rsid w:val="0C5D6E47"/>
    <w:rsid w:val="0D326B82"/>
    <w:rsid w:val="0E321AC8"/>
    <w:rsid w:val="0E61775F"/>
    <w:rsid w:val="0EF942E7"/>
    <w:rsid w:val="0FA52A8C"/>
    <w:rsid w:val="0FBE2E97"/>
    <w:rsid w:val="1058642E"/>
    <w:rsid w:val="116021FB"/>
    <w:rsid w:val="116A046E"/>
    <w:rsid w:val="11AA54BA"/>
    <w:rsid w:val="11C909FA"/>
    <w:rsid w:val="1206494C"/>
    <w:rsid w:val="131C1486"/>
    <w:rsid w:val="13CD0C3E"/>
    <w:rsid w:val="14144E0A"/>
    <w:rsid w:val="148C6AA5"/>
    <w:rsid w:val="14920FDE"/>
    <w:rsid w:val="153333B4"/>
    <w:rsid w:val="161F1C7B"/>
    <w:rsid w:val="16837824"/>
    <w:rsid w:val="16D67034"/>
    <w:rsid w:val="171211AE"/>
    <w:rsid w:val="176A53E0"/>
    <w:rsid w:val="17BE71CD"/>
    <w:rsid w:val="18861F65"/>
    <w:rsid w:val="1A9F5DEA"/>
    <w:rsid w:val="1B6C7938"/>
    <w:rsid w:val="1C0637E6"/>
    <w:rsid w:val="1D462DE8"/>
    <w:rsid w:val="1D675692"/>
    <w:rsid w:val="1D980530"/>
    <w:rsid w:val="1DBB6078"/>
    <w:rsid w:val="1EE35865"/>
    <w:rsid w:val="1F0B4B7C"/>
    <w:rsid w:val="1F423177"/>
    <w:rsid w:val="2007779F"/>
    <w:rsid w:val="20B47C67"/>
    <w:rsid w:val="20E35938"/>
    <w:rsid w:val="21DC2A21"/>
    <w:rsid w:val="22254DAD"/>
    <w:rsid w:val="224F5B98"/>
    <w:rsid w:val="229656DE"/>
    <w:rsid w:val="231E78FD"/>
    <w:rsid w:val="240D5B87"/>
    <w:rsid w:val="24DD445E"/>
    <w:rsid w:val="24E33490"/>
    <w:rsid w:val="24F94D20"/>
    <w:rsid w:val="25993E41"/>
    <w:rsid w:val="25D5109E"/>
    <w:rsid w:val="260E20D3"/>
    <w:rsid w:val="26452972"/>
    <w:rsid w:val="26A81E4B"/>
    <w:rsid w:val="26D23ABD"/>
    <w:rsid w:val="274D6DB9"/>
    <w:rsid w:val="27530031"/>
    <w:rsid w:val="27755605"/>
    <w:rsid w:val="279A0B78"/>
    <w:rsid w:val="294002DD"/>
    <w:rsid w:val="29504000"/>
    <w:rsid w:val="29DE1137"/>
    <w:rsid w:val="2A7838D9"/>
    <w:rsid w:val="2B127BB3"/>
    <w:rsid w:val="2B6E7A81"/>
    <w:rsid w:val="2C2C62F7"/>
    <w:rsid w:val="2C800E7B"/>
    <w:rsid w:val="2C912635"/>
    <w:rsid w:val="2CCB5557"/>
    <w:rsid w:val="2D010970"/>
    <w:rsid w:val="2D624A7A"/>
    <w:rsid w:val="2D686015"/>
    <w:rsid w:val="2DC56466"/>
    <w:rsid w:val="2E785CB4"/>
    <w:rsid w:val="2EF471D9"/>
    <w:rsid w:val="2F3D456C"/>
    <w:rsid w:val="2F454863"/>
    <w:rsid w:val="2F725FD1"/>
    <w:rsid w:val="2F780560"/>
    <w:rsid w:val="30EF63C6"/>
    <w:rsid w:val="315C300E"/>
    <w:rsid w:val="319E16B3"/>
    <w:rsid w:val="3295358E"/>
    <w:rsid w:val="341A41D6"/>
    <w:rsid w:val="342C3E35"/>
    <w:rsid w:val="3449029D"/>
    <w:rsid w:val="34754E5C"/>
    <w:rsid w:val="355842E2"/>
    <w:rsid w:val="35690E00"/>
    <w:rsid w:val="386E301B"/>
    <w:rsid w:val="3898077B"/>
    <w:rsid w:val="393C437E"/>
    <w:rsid w:val="3D001A2A"/>
    <w:rsid w:val="3D5222CF"/>
    <w:rsid w:val="3DE77DE2"/>
    <w:rsid w:val="3E066BC7"/>
    <w:rsid w:val="3EA01E71"/>
    <w:rsid w:val="3F236A0D"/>
    <w:rsid w:val="3FAB4FD2"/>
    <w:rsid w:val="3FE4252D"/>
    <w:rsid w:val="41114C21"/>
    <w:rsid w:val="41344254"/>
    <w:rsid w:val="414D3C6C"/>
    <w:rsid w:val="41854DDF"/>
    <w:rsid w:val="42533762"/>
    <w:rsid w:val="429B4AC9"/>
    <w:rsid w:val="42C0780C"/>
    <w:rsid w:val="437E5CBC"/>
    <w:rsid w:val="445A5AC9"/>
    <w:rsid w:val="44D3202D"/>
    <w:rsid w:val="45811AA7"/>
    <w:rsid w:val="45C52C0F"/>
    <w:rsid w:val="45E8726B"/>
    <w:rsid w:val="45ED7D07"/>
    <w:rsid w:val="4726317C"/>
    <w:rsid w:val="47E115DC"/>
    <w:rsid w:val="47F71EE4"/>
    <w:rsid w:val="48A366BF"/>
    <w:rsid w:val="49375E06"/>
    <w:rsid w:val="49667019"/>
    <w:rsid w:val="49EF7E0E"/>
    <w:rsid w:val="4A2D6D0B"/>
    <w:rsid w:val="4C2953E0"/>
    <w:rsid w:val="4E580B8B"/>
    <w:rsid w:val="4E743C27"/>
    <w:rsid w:val="4E980BEC"/>
    <w:rsid w:val="4EB16090"/>
    <w:rsid w:val="4EDA29E5"/>
    <w:rsid w:val="4FB16200"/>
    <w:rsid w:val="4FC82372"/>
    <w:rsid w:val="501D5755"/>
    <w:rsid w:val="506B1CAA"/>
    <w:rsid w:val="507910D7"/>
    <w:rsid w:val="50BE5EAE"/>
    <w:rsid w:val="511B2991"/>
    <w:rsid w:val="514B6151"/>
    <w:rsid w:val="51615A7B"/>
    <w:rsid w:val="52042A33"/>
    <w:rsid w:val="52DE04C9"/>
    <w:rsid w:val="53B24BB5"/>
    <w:rsid w:val="54345A99"/>
    <w:rsid w:val="54517133"/>
    <w:rsid w:val="55471B66"/>
    <w:rsid w:val="558064D5"/>
    <w:rsid w:val="55ED2096"/>
    <w:rsid w:val="564814CB"/>
    <w:rsid w:val="567227D0"/>
    <w:rsid w:val="56B57FC1"/>
    <w:rsid w:val="56D208D6"/>
    <w:rsid w:val="56F443B1"/>
    <w:rsid w:val="577E790C"/>
    <w:rsid w:val="58BB3070"/>
    <w:rsid w:val="5978073A"/>
    <w:rsid w:val="59AC02D2"/>
    <w:rsid w:val="5A130207"/>
    <w:rsid w:val="5A5E3341"/>
    <w:rsid w:val="5A632124"/>
    <w:rsid w:val="5B9B2BF1"/>
    <w:rsid w:val="5C012E5F"/>
    <w:rsid w:val="5E5A5A29"/>
    <w:rsid w:val="5EEE5856"/>
    <w:rsid w:val="5F43586F"/>
    <w:rsid w:val="5F767A73"/>
    <w:rsid w:val="5FF20433"/>
    <w:rsid w:val="60676624"/>
    <w:rsid w:val="61282AB3"/>
    <w:rsid w:val="62216355"/>
    <w:rsid w:val="622E7EC3"/>
    <w:rsid w:val="63A84AFC"/>
    <w:rsid w:val="63BE5A70"/>
    <w:rsid w:val="63D14C14"/>
    <w:rsid w:val="63FB1820"/>
    <w:rsid w:val="64392470"/>
    <w:rsid w:val="64CE560A"/>
    <w:rsid w:val="66821564"/>
    <w:rsid w:val="66861070"/>
    <w:rsid w:val="66F5427A"/>
    <w:rsid w:val="675C1FC1"/>
    <w:rsid w:val="68296DC4"/>
    <w:rsid w:val="683075EC"/>
    <w:rsid w:val="68A40026"/>
    <w:rsid w:val="68B67B36"/>
    <w:rsid w:val="68CD4356"/>
    <w:rsid w:val="694611A8"/>
    <w:rsid w:val="69857F6A"/>
    <w:rsid w:val="698E3E88"/>
    <w:rsid w:val="69B22147"/>
    <w:rsid w:val="69B24464"/>
    <w:rsid w:val="69F05A85"/>
    <w:rsid w:val="69FD2294"/>
    <w:rsid w:val="6ABE3BA7"/>
    <w:rsid w:val="6AC50BB8"/>
    <w:rsid w:val="6B04124A"/>
    <w:rsid w:val="6B6213F6"/>
    <w:rsid w:val="6BFC7E3A"/>
    <w:rsid w:val="6D1A321A"/>
    <w:rsid w:val="6D43726A"/>
    <w:rsid w:val="6E085F16"/>
    <w:rsid w:val="6E47085E"/>
    <w:rsid w:val="6EEF1CBF"/>
    <w:rsid w:val="6F940F51"/>
    <w:rsid w:val="70137CD1"/>
    <w:rsid w:val="706D5FFA"/>
    <w:rsid w:val="713D5DB1"/>
    <w:rsid w:val="71473495"/>
    <w:rsid w:val="725E78F4"/>
    <w:rsid w:val="72C71DF5"/>
    <w:rsid w:val="7341758C"/>
    <w:rsid w:val="738B4646"/>
    <w:rsid w:val="747F28CE"/>
    <w:rsid w:val="74924BF8"/>
    <w:rsid w:val="74957202"/>
    <w:rsid w:val="75A67FD3"/>
    <w:rsid w:val="775D7BDB"/>
    <w:rsid w:val="786C211B"/>
    <w:rsid w:val="789E1322"/>
    <w:rsid w:val="78C118C6"/>
    <w:rsid w:val="78DD5AE0"/>
    <w:rsid w:val="79BA6E72"/>
    <w:rsid w:val="79E144A9"/>
    <w:rsid w:val="79ED756B"/>
    <w:rsid w:val="7AA76CC9"/>
    <w:rsid w:val="7ADB4B89"/>
    <w:rsid w:val="7BDD08D8"/>
    <w:rsid w:val="7CB16258"/>
    <w:rsid w:val="7D1A6B3F"/>
    <w:rsid w:val="7E2F7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Theme="minorEastAsia" w:cstheme="minorBidi"/>
      <w:kern w:val="2"/>
      <w:sz w:val="21"/>
      <w:szCs w:val="22"/>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Indent"/>
    <w:basedOn w:val="1"/>
    <w:qFormat/>
    <w:uiPriority w:val="0"/>
    <w:pPr>
      <w:spacing w:line="480" w:lineRule="exact"/>
      <w:ind w:firstLine="570"/>
    </w:pPr>
    <w:rPr>
      <w:b/>
      <w:sz w:val="2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Body Text First Indent 2"/>
    <w:basedOn w:val="3"/>
    <w:next w:val="9"/>
    <w:qFormat/>
    <w:uiPriority w:val="0"/>
    <w:pPr>
      <w:ind w:firstLine="420" w:firstLineChars="200"/>
    </w:pPr>
    <w:rPr>
      <w:rFonts w:ascii="Times New Roman" w:hAnsi="Times New Roman" w:eastAsia="宋体"/>
    </w:rPr>
  </w:style>
  <w:style w:type="paragraph" w:customStyle="1" w:styleId="9">
    <w:name w:val="我的正文"/>
    <w:basedOn w:val="1"/>
    <w:qFormat/>
    <w:uiPriority w:val="0"/>
    <w:pPr>
      <w:spacing w:line="360" w:lineRule="auto"/>
      <w:ind w:firstLine="442" w:firstLineChars="200"/>
      <w:jc w:val="both"/>
    </w:pPr>
    <w:rPr>
      <w:rFonts w:ascii="Times New Roman" w:hAnsi="Times New Roman" w:eastAsia="宋体" w:cs="宋体"/>
      <w:sz w:val="24"/>
      <w:szCs w:val="24"/>
      <w:lang w:val="zh-CN" w:bidi="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我的表头"/>
    <w:basedOn w:val="1"/>
    <w:next w:val="1"/>
    <w:link w:val="14"/>
    <w:qFormat/>
    <w:uiPriority w:val="0"/>
    <w:pPr>
      <w:spacing w:line="240" w:lineRule="auto"/>
      <w:jc w:val="center"/>
    </w:pPr>
    <w:rPr>
      <w:rFonts w:ascii="Times New Roman" w:hAnsi="Times New Roman" w:eastAsia="宋体" w:cs="Times New Roman"/>
      <w:b/>
      <w:szCs w:val="21"/>
    </w:rPr>
  </w:style>
  <w:style w:type="character" w:customStyle="1" w:styleId="14">
    <w:name w:val="我的表头 Char"/>
    <w:link w:val="13"/>
    <w:qFormat/>
    <w:uiPriority w:val="0"/>
    <w:rPr>
      <w:rFonts w:ascii="Times New Roman" w:hAnsi="Times New Roman" w:eastAsia="宋体" w:cs="Times New Roman"/>
      <w:b/>
      <w:kern w:val="2"/>
      <w:sz w:val="21"/>
      <w:szCs w:val="21"/>
    </w:rPr>
  </w:style>
  <w:style w:type="paragraph" w:customStyle="1" w:styleId="15">
    <w:name w:val="wo一级标题"/>
    <w:basedOn w:val="9"/>
    <w:next w:val="9"/>
    <w:qFormat/>
    <w:uiPriority w:val="0"/>
    <w:pPr>
      <w:spacing w:before="50" w:beforeLines="50" w:after="50" w:afterLines="50"/>
      <w:ind w:left="0" w:leftChars="0" w:right="0" w:rightChars="0" w:firstLine="0" w:firstLineChars="0"/>
      <w:jc w:val="center"/>
      <w:outlineLvl w:val="0"/>
    </w:pPr>
    <w:rPr>
      <w:rFonts w:ascii="Times New Roman" w:hAnsi="Times New Roman" w:eastAsia="宋体"/>
      <w:b/>
      <w:sz w:val="36"/>
    </w:rPr>
  </w:style>
  <w:style w:type="paragraph" w:customStyle="1" w:styleId="16">
    <w:name w:val="wo二级标题"/>
    <w:basedOn w:val="1"/>
    <w:next w:val="9"/>
    <w:qFormat/>
    <w:uiPriority w:val="0"/>
    <w:pPr>
      <w:spacing w:before="50" w:beforeLines="50" w:after="50" w:afterLines="50" w:line="360" w:lineRule="auto"/>
      <w:ind w:left="0" w:leftChars="0" w:right="0" w:rightChars="0"/>
      <w:outlineLvl w:val="1"/>
    </w:pPr>
    <w:rPr>
      <w:rFonts w:ascii="Times New Roman" w:hAnsi="Times New Roman" w:eastAsiaTheme="minorEastAsia"/>
      <w:b/>
      <w:sz w:val="28"/>
      <w:szCs w:val="24"/>
    </w:rPr>
  </w:style>
  <w:style w:type="paragraph" w:customStyle="1" w:styleId="17">
    <w:name w:val="wo三级"/>
    <w:basedOn w:val="1"/>
    <w:next w:val="9"/>
    <w:qFormat/>
    <w:uiPriority w:val="0"/>
    <w:pPr>
      <w:spacing w:before="50" w:beforeLines="50" w:after="50" w:afterLines="50" w:line="360" w:lineRule="auto"/>
      <w:outlineLvl w:val="2"/>
    </w:pPr>
    <w:rPr>
      <w:rFonts w:ascii="Times New Roman" w:hAnsi="Times New Roman"/>
      <w:b/>
      <w:sz w:val="24"/>
      <w:szCs w:val="24"/>
    </w:rPr>
  </w:style>
  <w:style w:type="paragraph" w:customStyle="1" w:styleId="18">
    <w:name w:val="wo四级"/>
    <w:basedOn w:val="1"/>
    <w:next w:val="9"/>
    <w:qFormat/>
    <w:uiPriority w:val="0"/>
    <w:pPr>
      <w:spacing w:line="360" w:lineRule="auto"/>
      <w:outlineLvl w:val="3"/>
    </w:pPr>
    <w:rPr>
      <w:rFonts w:ascii="Times New Roman" w:hAnsi="Times New Roman" w:eastAsiaTheme="minorEastAsia"/>
      <w:b/>
      <w:sz w:val="24"/>
      <w:szCs w:val="24"/>
    </w:rPr>
  </w:style>
  <w:style w:type="paragraph" w:customStyle="1" w:styleId="19">
    <w:name w:val="表文字"/>
    <w:qFormat/>
    <w:uiPriority w:val="0"/>
    <w:pPr>
      <w:adjustRightInd w:val="0"/>
      <w:snapToGrid w:val="0"/>
      <w:ind w:left="-50" w:leftChars="-50"/>
      <w:jc w:val="center"/>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emf"/><Relationship Id="rId6" Type="http://schemas.openxmlformats.org/officeDocument/2006/relationships/oleObject" Target="embeddings/oleObject1.bin"/><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image" Target="media/image1.jpeg"/><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emf"/><Relationship Id="rId40" Type="http://schemas.openxmlformats.org/officeDocument/2006/relationships/oleObject" Target="embeddings/oleObject10.bin"/><Relationship Id="rId4" Type="http://schemas.openxmlformats.org/officeDocument/2006/relationships/theme" Target="theme/theme1.xml"/><Relationship Id="rId39" Type="http://schemas.openxmlformats.org/officeDocument/2006/relationships/image" Target="media/image26.emf"/><Relationship Id="rId38" Type="http://schemas.openxmlformats.org/officeDocument/2006/relationships/oleObject" Target="embeddings/oleObject9.bin"/><Relationship Id="rId37" Type="http://schemas.openxmlformats.org/officeDocument/2006/relationships/image" Target="media/image25.emf"/><Relationship Id="rId36" Type="http://schemas.openxmlformats.org/officeDocument/2006/relationships/oleObject" Target="embeddings/oleObject8.bin"/><Relationship Id="rId35" Type="http://schemas.openxmlformats.org/officeDocument/2006/relationships/image" Target="media/image24.emf"/><Relationship Id="rId34" Type="http://schemas.openxmlformats.org/officeDocument/2006/relationships/oleObject" Target="embeddings/oleObject7.bin"/><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emf"/><Relationship Id="rId22" Type="http://schemas.openxmlformats.org/officeDocument/2006/relationships/oleObject" Target="embeddings/oleObject6.bin"/><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5.bin"/><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4.bin"/><Relationship Id="rId11" Type="http://schemas.openxmlformats.org/officeDocument/2006/relationships/image" Target="media/image4.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20598</Words>
  <Characters>24184</Characters>
  <Lines>0</Lines>
  <Paragraphs>0</Paragraphs>
  <TotalTime>1</TotalTime>
  <ScaleCrop>false</ScaleCrop>
  <LinksUpToDate>false</LinksUpToDate>
  <CharactersWithSpaces>24852</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2019-04-18T12:07:00Z</dcterms:created>
  <dc:creator>半月喵</dc:creator>
  <cp:lastModifiedBy>半月喵</cp:lastModifiedBy>
  <cp:lastPrinted>2019-06-03T01:04:00Z</cp:lastPrinted>
  <dcterms:modified xsi:type="dcterms:W3CDTF">2019-06-06T01:39:26Z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